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25" w:rsidRPr="00A14125" w:rsidRDefault="00A14125" w:rsidP="00D10D2A">
      <w:pPr>
        <w:shd w:val="clear" w:color="auto" w:fill="FFFFFF"/>
        <w:spacing w:before="100" w:beforeAutospacing="1" w:after="100" w:afterAutospacing="1"/>
        <w:jc w:val="center"/>
        <w:rPr>
          <w:spacing w:val="0"/>
          <w:sz w:val="24"/>
          <w:szCs w:val="24"/>
        </w:rPr>
      </w:pPr>
      <w:r w:rsidRPr="00A14125">
        <w:rPr>
          <w:spacing w:val="0"/>
          <w:sz w:val="24"/>
          <w:szCs w:val="24"/>
        </w:rPr>
        <w:fldChar w:fldCharType="begin"/>
      </w:r>
      <w:r w:rsidRPr="00A14125">
        <w:rPr>
          <w:spacing w:val="0"/>
          <w:sz w:val="24"/>
          <w:szCs w:val="24"/>
        </w:rPr>
        <w:instrText xml:space="preserve"> INCLUDEPICTURE "https://ips.ligazakon.net/l_flib1.nsf/LookupFiles/TSIGN.GIF/$file/TSIGN.GIF" \* MERGEFORMATINET </w:instrText>
      </w:r>
      <w:r w:rsidRPr="00A14125">
        <w:rPr>
          <w:spacing w:val="0"/>
          <w:sz w:val="24"/>
          <w:szCs w:val="24"/>
        </w:rPr>
        <w:fldChar w:fldCharType="separate"/>
      </w:r>
      <w:r w:rsidR="00D10D2A">
        <w:rPr>
          <w:spacing w:val="0"/>
          <w:sz w:val="24"/>
          <w:szCs w:val="24"/>
        </w:rPr>
        <w:fldChar w:fldCharType="begin"/>
      </w:r>
      <w:r w:rsidR="00D10D2A">
        <w:rPr>
          <w:spacing w:val="0"/>
          <w:sz w:val="24"/>
          <w:szCs w:val="24"/>
        </w:rPr>
        <w:instrText xml:space="preserve"> </w:instrText>
      </w:r>
      <w:r w:rsidR="00D10D2A">
        <w:rPr>
          <w:spacing w:val="0"/>
          <w:sz w:val="24"/>
          <w:szCs w:val="24"/>
        </w:rPr>
        <w:instrText>INCLUDEPICTURE  "https://ips.ligazakon.net/l_flib1.nsf/LookupFiles/TSIGN.GIF/$file/TSIGN.GIF" \* MERGEFORMATINET</w:instrText>
      </w:r>
      <w:r w:rsidR="00D10D2A">
        <w:rPr>
          <w:spacing w:val="0"/>
          <w:sz w:val="24"/>
          <w:szCs w:val="24"/>
        </w:rPr>
        <w:instrText xml:space="preserve"> </w:instrText>
      </w:r>
      <w:r w:rsidR="00D10D2A">
        <w:rPr>
          <w:spacing w:val="0"/>
          <w:sz w:val="24"/>
          <w:szCs w:val="24"/>
        </w:rPr>
        <w:fldChar w:fldCharType="separate"/>
      </w:r>
      <w:r w:rsidR="00D10D2A">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66pt;mso-wrap-distance-left:3.75pt;mso-wrap-distance-right:3.75pt">
            <v:imagedata r:id="rId4" r:href="rId5"/>
          </v:shape>
        </w:pict>
      </w:r>
      <w:r w:rsidR="00D10D2A">
        <w:rPr>
          <w:spacing w:val="0"/>
          <w:sz w:val="24"/>
          <w:szCs w:val="24"/>
        </w:rPr>
        <w:fldChar w:fldCharType="end"/>
      </w:r>
      <w:r w:rsidRPr="00A14125">
        <w:rPr>
          <w:spacing w:val="0"/>
          <w:sz w:val="24"/>
          <w:szCs w:val="24"/>
        </w:rPr>
        <w:fldChar w:fldCharType="end"/>
      </w:r>
    </w:p>
    <w:p w:rsidR="00A14125" w:rsidRPr="00A14125" w:rsidRDefault="00A14125" w:rsidP="00D10D2A">
      <w:pPr>
        <w:shd w:val="clear" w:color="auto" w:fill="FFFFFF"/>
        <w:spacing w:before="100" w:beforeAutospacing="1" w:after="100" w:afterAutospacing="1"/>
        <w:jc w:val="center"/>
        <w:outlineLvl w:val="1"/>
        <w:rPr>
          <w:b/>
          <w:bCs/>
          <w:spacing w:val="0"/>
          <w:sz w:val="36"/>
          <w:szCs w:val="36"/>
        </w:rPr>
      </w:pPr>
      <w:r w:rsidRPr="00A14125">
        <w:rPr>
          <w:b/>
          <w:bCs/>
          <w:spacing w:val="0"/>
          <w:sz w:val="36"/>
          <w:szCs w:val="36"/>
        </w:rPr>
        <w:t>НАЦІОНАЛЬНА КОМІСІЯ З ЦІННИХ ПАПЕРІВ ТА ФОНДОВОГО РИНКУ</w:t>
      </w:r>
    </w:p>
    <w:p w:rsidR="00A14125" w:rsidRPr="00A14125" w:rsidRDefault="00A14125" w:rsidP="00D10D2A">
      <w:pPr>
        <w:shd w:val="clear" w:color="auto" w:fill="FFFFFF"/>
        <w:spacing w:before="100" w:beforeAutospacing="1" w:after="100" w:afterAutospacing="1"/>
        <w:jc w:val="center"/>
        <w:outlineLvl w:val="1"/>
        <w:rPr>
          <w:b/>
          <w:bCs/>
          <w:spacing w:val="0"/>
          <w:sz w:val="36"/>
          <w:szCs w:val="36"/>
        </w:rPr>
      </w:pPr>
      <w:r w:rsidRPr="00A14125">
        <w:rPr>
          <w:b/>
          <w:bCs/>
          <w:spacing w:val="0"/>
          <w:sz w:val="36"/>
          <w:szCs w:val="36"/>
        </w:rPr>
        <w:t>РІШЕННЯ</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3519"/>
        <w:gridCol w:w="3003"/>
        <w:gridCol w:w="3518"/>
      </w:tblGrid>
      <w:tr w:rsidR="00A14125" w:rsidRPr="00A14125" w:rsidTr="00A14125">
        <w:trPr>
          <w:tblCellSpacing w:w="22" w:type="dxa"/>
        </w:trPr>
        <w:tc>
          <w:tcPr>
            <w:tcW w:w="1750" w:type="pct"/>
            <w:vAlign w:val="center"/>
          </w:tcPr>
          <w:p w:rsidR="00A14125" w:rsidRPr="00A14125" w:rsidRDefault="00A14125" w:rsidP="00D10D2A">
            <w:pPr>
              <w:spacing w:before="100" w:beforeAutospacing="1" w:after="100" w:afterAutospacing="1"/>
              <w:jc w:val="center"/>
              <w:rPr>
                <w:spacing w:val="0"/>
                <w:sz w:val="24"/>
                <w:szCs w:val="24"/>
              </w:rPr>
            </w:pPr>
            <w:r w:rsidRPr="00A14125">
              <w:rPr>
                <w:b/>
                <w:bCs/>
                <w:spacing w:val="0"/>
                <w:sz w:val="24"/>
                <w:szCs w:val="24"/>
              </w:rPr>
              <w:t>10.09.2013</w:t>
            </w:r>
          </w:p>
        </w:tc>
        <w:tc>
          <w:tcPr>
            <w:tcW w:w="1500" w:type="pct"/>
            <w:vAlign w:val="center"/>
          </w:tcPr>
          <w:p w:rsidR="00A14125" w:rsidRPr="00A14125" w:rsidRDefault="00A14125" w:rsidP="00D10D2A">
            <w:pPr>
              <w:spacing w:before="100" w:beforeAutospacing="1" w:after="100" w:afterAutospacing="1"/>
              <w:jc w:val="center"/>
              <w:rPr>
                <w:spacing w:val="0"/>
                <w:sz w:val="24"/>
                <w:szCs w:val="24"/>
              </w:rPr>
            </w:pPr>
            <w:r w:rsidRPr="00A14125">
              <w:rPr>
                <w:b/>
                <w:bCs/>
                <w:spacing w:val="0"/>
                <w:sz w:val="24"/>
                <w:szCs w:val="24"/>
              </w:rPr>
              <w:t>м. Київ</w:t>
            </w:r>
          </w:p>
        </w:tc>
        <w:tc>
          <w:tcPr>
            <w:tcW w:w="1750" w:type="pct"/>
            <w:vAlign w:val="center"/>
          </w:tcPr>
          <w:p w:rsidR="00A14125" w:rsidRPr="00A14125" w:rsidRDefault="00A14125" w:rsidP="00D10D2A">
            <w:pPr>
              <w:spacing w:before="100" w:beforeAutospacing="1" w:after="100" w:afterAutospacing="1"/>
              <w:jc w:val="center"/>
              <w:rPr>
                <w:spacing w:val="0"/>
                <w:sz w:val="24"/>
                <w:szCs w:val="24"/>
              </w:rPr>
            </w:pPr>
            <w:r w:rsidRPr="00A14125">
              <w:rPr>
                <w:b/>
                <w:bCs/>
                <w:spacing w:val="0"/>
                <w:sz w:val="24"/>
                <w:szCs w:val="24"/>
              </w:rPr>
              <w:t>N 1753</w:t>
            </w:r>
          </w:p>
        </w:tc>
      </w:tr>
    </w:tbl>
    <w:p w:rsidR="00A14125" w:rsidRPr="00A14125" w:rsidRDefault="00A14125" w:rsidP="00D10D2A">
      <w:pPr>
        <w:shd w:val="clear" w:color="auto" w:fill="FFFFFF"/>
        <w:spacing w:before="100" w:beforeAutospacing="1" w:after="100" w:afterAutospacing="1"/>
        <w:jc w:val="right"/>
        <w:rPr>
          <w:spacing w:val="0"/>
          <w:sz w:val="24"/>
          <w:szCs w:val="24"/>
        </w:rPr>
      </w:pPr>
      <w:r w:rsidRPr="00A14125">
        <w:rPr>
          <w:b/>
          <w:bCs/>
          <w:spacing w:val="0"/>
          <w:sz w:val="24"/>
          <w:szCs w:val="24"/>
        </w:rPr>
        <w:t>Зареєстровано в Міністерстві юстиції України</w:t>
      </w:r>
      <w:r w:rsidRPr="00A14125">
        <w:rPr>
          <w:b/>
          <w:bCs/>
          <w:spacing w:val="0"/>
          <w:sz w:val="24"/>
          <w:szCs w:val="24"/>
        </w:rPr>
        <w:br/>
        <w:t>01 жовтня 2013 р. за N 1689/24221</w:t>
      </w:r>
    </w:p>
    <w:p w:rsidR="00A14125" w:rsidRPr="00A14125" w:rsidRDefault="00A14125" w:rsidP="00D10D2A">
      <w:pPr>
        <w:shd w:val="clear" w:color="auto" w:fill="FFFFFF"/>
        <w:spacing w:before="100" w:beforeAutospacing="1" w:after="100" w:afterAutospacing="1"/>
        <w:jc w:val="center"/>
        <w:outlineLvl w:val="1"/>
        <w:rPr>
          <w:b/>
          <w:bCs/>
          <w:spacing w:val="0"/>
          <w:sz w:val="36"/>
          <w:szCs w:val="36"/>
        </w:rPr>
      </w:pPr>
      <w:r w:rsidRPr="00A14125">
        <w:rPr>
          <w:b/>
          <w:bCs/>
          <w:spacing w:val="0"/>
          <w:sz w:val="36"/>
          <w:szCs w:val="36"/>
        </w:rPr>
        <w:t>Про затвердження Положення про склад та структуру активів інституту спільного інвестування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Із змінами і доповненнями, внесеними</w:t>
      </w:r>
      <w:r w:rsidRPr="00A14125">
        <w:rPr>
          <w:spacing w:val="0"/>
          <w:sz w:val="24"/>
          <w:szCs w:val="24"/>
        </w:rPr>
        <w:br/>
        <w:t> рішеннями Національної комісії з цінних паперів та фондового ринку</w:t>
      </w:r>
      <w:r w:rsidRPr="00A14125">
        <w:rPr>
          <w:spacing w:val="0"/>
          <w:sz w:val="24"/>
          <w:szCs w:val="24"/>
        </w:rPr>
        <w:br/>
        <w:t> від 16 грудня 2014 року N 1712,</w:t>
      </w:r>
      <w:r w:rsidRPr="00A14125">
        <w:rPr>
          <w:spacing w:val="0"/>
          <w:sz w:val="24"/>
          <w:szCs w:val="24"/>
        </w:rPr>
        <w:br/>
        <w:t>від 17 грудня 2015 року N 2132,</w:t>
      </w:r>
      <w:r w:rsidRPr="00A14125">
        <w:rPr>
          <w:spacing w:val="0"/>
          <w:sz w:val="24"/>
          <w:szCs w:val="24"/>
        </w:rPr>
        <w:br/>
        <w:t>від 24 квітня 2018 року N 247,</w:t>
      </w:r>
      <w:r w:rsidRPr="00A14125">
        <w:rPr>
          <w:spacing w:val="0"/>
          <w:sz w:val="24"/>
          <w:szCs w:val="24"/>
        </w:rPr>
        <w:br/>
        <w:t>від 27 грудня 2018 року N 910</w:t>
      </w:r>
    </w:p>
    <w:tbl>
      <w:tblPr>
        <w:tblW w:w="3000" w:type="pct"/>
        <w:jc w:val="center"/>
        <w:tblCellSpacing w:w="22" w:type="dxa"/>
        <w:tblCellMar>
          <w:left w:w="0" w:type="dxa"/>
          <w:right w:w="0" w:type="dxa"/>
        </w:tblCellMar>
        <w:tblLook w:val="0000" w:firstRow="0" w:lastRow="0" w:firstColumn="0" w:lastColumn="0" w:noHBand="0" w:noVBand="0"/>
      </w:tblPr>
      <w:tblGrid>
        <w:gridCol w:w="6006"/>
      </w:tblGrid>
      <w:tr w:rsidR="00A14125" w:rsidRPr="00A14125" w:rsidTr="00A14125">
        <w:trPr>
          <w:tblCellSpacing w:w="22" w:type="dxa"/>
          <w:jc w:val="center"/>
        </w:trPr>
        <w:tc>
          <w:tcPr>
            <w:tcW w:w="0" w:type="auto"/>
            <w:vAlign w:val="center"/>
          </w:tcPr>
          <w:p w:rsidR="00A14125" w:rsidRPr="00A14125" w:rsidRDefault="00A14125" w:rsidP="00A14125">
            <w:pPr>
              <w:spacing w:before="100" w:beforeAutospacing="1" w:after="100" w:afterAutospacing="1"/>
              <w:rPr>
                <w:spacing w:val="0"/>
                <w:sz w:val="24"/>
                <w:szCs w:val="24"/>
              </w:rPr>
            </w:pPr>
            <w:r w:rsidRPr="00A14125">
              <w:rPr>
                <w:spacing w:val="0"/>
                <w:sz w:val="24"/>
                <w:szCs w:val="24"/>
              </w:rPr>
              <w:t xml:space="preserve">(Зміни, внесені </w:t>
            </w:r>
            <w:r w:rsidRPr="00A14125">
              <w:rPr>
                <w:color w:val="000000"/>
                <w:spacing w:val="0"/>
                <w:sz w:val="24"/>
                <w:szCs w:val="24"/>
              </w:rPr>
              <w:t>підпунктом 2 пункту 1</w:t>
            </w:r>
            <w:r w:rsidRPr="00A14125">
              <w:rPr>
                <w:spacing w:val="0"/>
                <w:sz w:val="24"/>
                <w:szCs w:val="24"/>
              </w:rPr>
              <w:t xml:space="preserve"> рішення Національної комісії з цінних паперів та фондового ринку від 27 грудня 2018 року N 910, поширюються на договірні відносини, що виникли з дня набрання чинності зазначеним рішенням)</w:t>
            </w:r>
          </w:p>
        </w:tc>
      </w:tr>
    </w:tbl>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Відповідно до </w:t>
      </w:r>
      <w:r w:rsidRPr="00A14125">
        <w:rPr>
          <w:color w:val="000000"/>
          <w:spacing w:val="0"/>
          <w:sz w:val="24"/>
          <w:szCs w:val="24"/>
        </w:rPr>
        <w:t>пункту 3 частини першої статті 7</w:t>
      </w:r>
      <w:r w:rsidRPr="00A14125">
        <w:rPr>
          <w:spacing w:val="0"/>
          <w:sz w:val="24"/>
          <w:szCs w:val="24"/>
        </w:rPr>
        <w:t xml:space="preserve"> та </w:t>
      </w:r>
      <w:r w:rsidRPr="00A14125">
        <w:rPr>
          <w:color w:val="000000"/>
          <w:spacing w:val="0"/>
          <w:sz w:val="24"/>
          <w:szCs w:val="24"/>
        </w:rPr>
        <w:t>пункту 13 статті 8 Закону України "Про державне регулювання ринку цінних паперів в Україні"</w:t>
      </w:r>
      <w:r w:rsidRPr="00A14125">
        <w:rPr>
          <w:spacing w:val="0"/>
          <w:sz w:val="24"/>
          <w:szCs w:val="24"/>
        </w:rPr>
        <w:t xml:space="preserve">, </w:t>
      </w:r>
      <w:r w:rsidRPr="00A14125">
        <w:rPr>
          <w:color w:val="000000"/>
          <w:spacing w:val="0"/>
          <w:sz w:val="24"/>
          <w:szCs w:val="24"/>
        </w:rPr>
        <w:t>Законів України "Про цінні папери та фондовий ринок"</w:t>
      </w:r>
      <w:r w:rsidRPr="00A14125">
        <w:rPr>
          <w:spacing w:val="0"/>
          <w:sz w:val="24"/>
          <w:szCs w:val="24"/>
        </w:rPr>
        <w:t xml:space="preserve">, </w:t>
      </w:r>
      <w:r w:rsidRPr="00A14125">
        <w:rPr>
          <w:color w:val="000000"/>
          <w:spacing w:val="0"/>
          <w:sz w:val="24"/>
          <w:szCs w:val="24"/>
        </w:rPr>
        <w:t>"Про господарські товариства"</w:t>
      </w:r>
      <w:r w:rsidRPr="00A14125">
        <w:rPr>
          <w:spacing w:val="0"/>
          <w:sz w:val="24"/>
          <w:szCs w:val="24"/>
        </w:rPr>
        <w:t xml:space="preserve">, </w:t>
      </w:r>
      <w:r w:rsidRPr="00A14125">
        <w:rPr>
          <w:color w:val="000000"/>
          <w:spacing w:val="0"/>
          <w:sz w:val="24"/>
          <w:szCs w:val="24"/>
        </w:rPr>
        <w:t>"Про інститути спільного інвестування"</w:t>
      </w:r>
      <w:r w:rsidRPr="00A14125">
        <w:rPr>
          <w:spacing w:val="0"/>
          <w:sz w:val="24"/>
          <w:szCs w:val="24"/>
        </w:rPr>
        <w:t xml:space="preserve">, підпункту 59 пункту 4 Положення про Національну комісію з цінних паперів та фондового ринку, затвердженого </w:t>
      </w:r>
      <w:r w:rsidRPr="00A14125">
        <w:rPr>
          <w:color w:val="000000"/>
          <w:spacing w:val="0"/>
          <w:sz w:val="24"/>
          <w:szCs w:val="24"/>
        </w:rPr>
        <w:t>Указом Президента України від 23 листопада 2011 року N 1063</w:t>
      </w:r>
      <w:r w:rsidRPr="00A14125">
        <w:rPr>
          <w:spacing w:val="0"/>
          <w:sz w:val="24"/>
          <w:szCs w:val="24"/>
        </w:rPr>
        <w:t>, Національна комісія з цінних паперів та фондового ринку</w:t>
      </w:r>
    </w:p>
    <w:p w:rsidR="00A14125" w:rsidRPr="00A14125" w:rsidRDefault="00A14125" w:rsidP="00D10D2A">
      <w:pPr>
        <w:shd w:val="clear" w:color="auto" w:fill="FFFFFF"/>
        <w:spacing w:before="100" w:beforeAutospacing="1" w:after="100" w:afterAutospacing="1"/>
        <w:jc w:val="center"/>
        <w:rPr>
          <w:spacing w:val="0"/>
          <w:sz w:val="24"/>
          <w:szCs w:val="24"/>
        </w:rPr>
      </w:pPr>
      <w:r w:rsidRPr="00A14125">
        <w:rPr>
          <w:b/>
          <w:bCs/>
          <w:spacing w:val="0"/>
          <w:sz w:val="24"/>
          <w:szCs w:val="24"/>
        </w:rPr>
        <w:t>ВИРІШИЛА:</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Затвердити Положення про склад та структуру активів інституту спільного інвестування, що додається.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2. Визнати таким, що втратило чинність, </w:t>
      </w:r>
      <w:r w:rsidRPr="00A14125">
        <w:rPr>
          <w:color w:val="000000"/>
          <w:spacing w:val="0"/>
          <w:sz w:val="24"/>
          <w:szCs w:val="24"/>
        </w:rPr>
        <w:t>рішення Державної комісії з цінних паперів та фондового ринку від 11 січня 2002 року N 12 "Про затвердження Положення про склад та структуру активів інституту спільного інвестування"</w:t>
      </w:r>
      <w:r w:rsidRPr="00A14125">
        <w:rPr>
          <w:spacing w:val="0"/>
          <w:sz w:val="24"/>
          <w:szCs w:val="24"/>
        </w:rPr>
        <w:t>, зареєстроване в Міністерстві юстиції України 06 лютого 2002 року за N 108/6396 (із змінами).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3. Департаменту спільного інвестування та регулювання діяльності інституційних інвесторів (О. Симоненко) забезпечити подання цього рішення на державну реєстрацію до Міністерства юстиції України.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Управлінню інформаційних технологій, зовнішніх та внутрішніх комунікацій (А. Заїка) забезпечити опублікування цього рішення відповідно до законодавства України.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Контроль за виконанням цього рішення покласти на члена Національної комісії з цінних паперів та фондового ринку О. Тарасенка.</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Це рішення набирає чинності з 01 січня 2014 року.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5065"/>
        <w:gridCol w:w="5065"/>
      </w:tblGrid>
      <w:tr w:rsidR="00A14125" w:rsidRPr="00A14125" w:rsidTr="00A14125">
        <w:trPr>
          <w:tblCellSpacing w:w="22" w:type="dxa"/>
        </w:trPr>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Голова Комісії</w:t>
            </w:r>
          </w:p>
        </w:tc>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Д. Тевелєв</w:t>
            </w:r>
          </w:p>
        </w:tc>
      </w:tr>
      <w:tr w:rsidR="00A14125" w:rsidRPr="00A14125" w:rsidTr="00A14125">
        <w:trPr>
          <w:tblCellSpacing w:w="22" w:type="dxa"/>
        </w:trPr>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ПОГОДЖЕНО:</w:t>
            </w:r>
          </w:p>
        </w:tc>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spacing w:val="0"/>
                <w:sz w:val="24"/>
                <w:szCs w:val="24"/>
              </w:rPr>
              <w:t> </w:t>
            </w:r>
          </w:p>
        </w:tc>
      </w:tr>
      <w:tr w:rsidR="00A14125" w:rsidRPr="00A14125" w:rsidTr="00A14125">
        <w:trPr>
          <w:tblCellSpacing w:w="22" w:type="dxa"/>
        </w:trPr>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Т. в. о. Голови Державної служби</w:t>
            </w:r>
            <w:r w:rsidRPr="00A14125">
              <w:rPr>
                <w:b/>
                <w:bCs/>
                <w:spacing w:val="0"/>
                <w:sz w:val="24"/>
                <w:szCs w:val="24"/>
              </w:rPr>
              <w:br/>
              <w:t>України з питань регуляторної</w:t>
            </w:r>
            <w:r w:rsidRPr="00A14125">
              <w:rPr>
                <w:b/>
                <w:bCs/>
                <w:spacing w:val="0"/>
                <w:sz w:val="24"/>
                <w:szCs w:val="24"/>
              </w:rPr>
              <w:br/>
              <w:t>політики та розвитку підприємництва</w:t>
            </w:r>
          </w:p>
        </w:tc>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 xml:space="preserve">О. Ю. </w:t>
            </w:r>
            <w:proofErr w:type="spellStart"/>
            <w:r w:rsidRPr="00A14125">
              <w:rPr>
                <w:b/>
                <w:bCs/>
                <w:spacing w:val="0"/>
                <w:sz w:val="24"/>
                <w:szCs w:val="24"/>
              </w:rPr>
              <w:t>Потімков</w:t>
            </w:r>
            <w:proofErr w:type="spellEnd"/>
          </w:p>
        </w:tc>
      </w:tr>
    </w:tbl>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w:t>
      </w:r>
    </w:p>
    <w:p w:rsidR="00A14125" w:rsidRPr="00A14125" w:rsidRDefault="00A14125" w:rsidP="00D10D2A">
      <w:pPr>
        <w:shd w:val="clear" w:color="auto" w:fill="FFFFFF"/>
        <w:spacing w:before="100" w:beforeAutospacing="1" w:after="100" w:afterAutospacing="1"/>
        <w:jc w:val="right"/>
        <w:rPr>
          <w:spacing w:val="0"/>
          <w:sz w:val="24"/>
          <w:szCs w:val="24"/>
        </w:rPr>
      </w:pPr>
      <w:r w:rsidRPr="00A14125">
        <w:rPr>
          <w:spacing w:val="0"/>
          <w:sz w:val="24"/>
          <w:szCs w:val="24"/>
        </w:rPr>
        <w:t>Протокол засідання Комісії</w:t>
      </w:r>
      <w:r w:rsidRPr="00A14125">
        <w:rPr>
          <w:spacing w:val="0"/>
          <w:sz w:val="24"/>
          <w:szCs w:val="24"/>
        </w:rPr>
        <w:br/>
        <w:t>від 10 вересня 2013 р. N 46</w:t>
      </w:r>
    </w:p>
    <w:p w:rsidR="00A14125" w:rsidRPr="00D10D2A" w:rsidRDefault="00D10D2A" w:rsidP="00D10D2A">
      <w:pPr>
        <w:shd w:val="clear" w:color="auto" w:fill="FFFFFF"/>
        <w:spacing w:before="100" w:beforeAutospacing="1" w:after="100" w:afterAutospacing="1"/>
        <w:jc w:val="center"/>
        <w:rPr>
          <w:spacing w:val="0"/>
          <w:sz w:val="24"/>
          <w:szCs w:val="24"/>
          <w:lang w:val="en-US"/>
        </w:rPr>
      </w:pPr>
      <w:r>
        <w:rPr>
          <w:spacing w:val="0"/>
          <w:sz w:val="24"/>
          <w:szCs w:val="24"/>
          <w:lang w:val="en-US"/>
        </w:rPr>
        <w:t>-------------</w:t>
      </w:r>
    </w:p>
    <w:p w:rsidR="00A14125" w:rsidRPr="00A14125" w:rsidRDefault="00A14125" w:rsidP="00D10D2A">
      <w:pPr>
        <w:shd w:val="clear" w:color="auto" w:fill="FFFFFF"/>
        <w:spacing w:before="100" w:beforeAutospacing="1" w:after="100" w:afterAutospacing="1"/>
        <w:jc w:val="right"/>
        <w:rPr>
          <w:spacing w:val="0"/>
          <w:sz w:val="24"/>
          <w:szCs w:val="24"/>
        </w:rPr>
      </w:pPr>
      <w:r w:rsidRPr="00A14125">
        <w:rPr>
          <w:spacing w:val="0"/>
          <w:sz w:val="24"/>
          <w:szCs w:val="24"/>
        </w:rPr>
        <w:t>ЗАТВЕРДЖЕНО</w:t>
      </w:r>
      <w:r w:rsidRPr="00A14125">
        <w:rPr>
          <w:spacing w:val="0"/>
          <w:sz w:val="24"/>
          <w:szCs w:val="24"/>
        </w:rPr>
        <w:br/>
        <w:t>Рішення Національної комісії з цінних паперів та фондового ринку</w:t>
      </w:r>
      <w:r w:rsidRPr="00A14125">
        <w:rPr>
          <w:spacing w:val="0"/>
          <w:sz w:val="24"/>
          <w:szCs w:val="24"/>
        </w:rPr>
        <w:br/>
        <w:t>10.09.2013 N 1753</w:t>
      </w:r>
    </w:p>
    <w:p w:rsidR="00A14125" w:rsidRPr="00A14125" w:rsidRDefault="00A14125" w:rsidP="00D10D2A">
      <w:pPr>
        <w:shd w:val="clear" w:color="auto" w:fill="FFFFFF"/>
        <w:spacing w:before="100" w:beforeAutospacing="1" w:after="100" w:afterAutospacing="1"/>
        <w:jc w:val="right"/>
        <w:rPr>
          <w:spacing w:val="0"/>
          <w:sz w:val="24"/>
          <w:szCs w:val="24"/>
        </w:rPr>
      </w:pPr>
      <w:r w:rsidRPr="00A14125">
        <w:rPr>
          <w:spacing w:val="0"/>
          <w:sz w:val="24"/>
          <w:szCs w:val="24"/>
        </w:rPr>
        <w:t>Зареєстровано</w:t>
      </w:r>
      <w:r w:rsidRPr="00A14125">
        <w:rPr>
          <w:spacing w:val="0"/>
          <w:sz w:val="24"/>
          <w:szCs w:val="24"/>
        </w:rPr>
        <w:br/>
        <w:t>в Міністерстві юстиції України</w:t>
      </w:r>
      <w:r w:rsidRPr="00A14125">
        <w:rPr>
          <w:spacing w:val="0"/>
          <w:sz w:val="24"/>
          <w:szCs w:val="24"/>
        </w:rPr>
        <w:br/>
        <w:t>01 жовтня 2013 р. за N 1689/24221</w:t>
      </w:r>
    </w:p>
    <w:p w:rsidR="00A14125" w:rsidRPr="00A14125" w:rsidRDefault="00A14125" w:rsidP="00D10D2A">
      <w:pPr>
        <w:shd w:val="clear" w:color="auto" w:fill="FFFFFF"/>
        <w:spacing w:before="100" w:beforeAutospacing="1" w:after="100" w:afterAutospacing="1"/>
        <w:jc w:val="center"/>
        <w:outlineLvl w:val="2"/>
        <w:rPr>
          <w:b/>
          <w:bCs/>
          <w:spacing w:val="0"/>
          <w:sz w:val="27"/>
          <w:szCs w:val="27"/>
        </w:rPr>
      </w:pPr>
      <w:r w:rsidRPr="00A14125">
        <w:rPr>
          <w:b/>
          <w:bCs/>
          <w:spacing w:val="0"/>
          <w:sz w:val="27"/>
          <w:szCs w:val="27"/>
        </w:rPr>
        <w:t>Положення про склад та структуру активів інституту спільного інвестування</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 Загальні положення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1. Це Положення розроблене відповідно до </w:t>
      </w:r>
      <w:r w:rsidRPr="00A14125">
        <w:rPr>
          <w:color w:val="000000"/>
          <w:spacing w:val="0"/>
          <w:sz w:val="24"/>
          <w:szCs w:val="24"/>
        </w:rPr>
        <w:t>Законів України "Про інститути спільного інвестування"</w:t>
      </w:r>
      <w:r w:rsidRPr="00A14125">
        <w:rPr>
          <w:spacing w:val="0"/>
          <w:sz w:val="24"/>
          <w:szCs w:val="24"/>
        </w:rPr>
        <w:t xml:space="preserve">, </w:t>
      </w:r>
      <w:r w:rsidRPr="00A14125">
        <w:rPr>
          <w:color w:val="000000"/>
          <w:spacing w:val="0"/>
          <w:sz w:val="24"/>
          <w:szCs w:val="24"/>
        </w:rPr>
        <w:t>"Про державне регулювання ринку цінних паперів в Україні"</w:t>
      </w:r>
      <w:r w:rsidRPr="00A14125">
        <w:rPr>
          <w:spacing w:val="0"/>
          <w:sz w:val="24"/>
          <w:szCs w:val="24"/>
        </w:rPr>
        <w:t xml:space="preserve"> та установлює вимоги щодо складу та структури активів інституту спільного інвестування (далі - ІСІ) з метою ефективного розміщення фінансових ресурсів інвесторів.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Склад та структура активів ІСІ в</w:t>
      </w:r>
      <w:bookmarkStart w:id="0" w:name="_GoBack"/>
      <w:bookmarkEnd w:id="0"/>
      <w:r w:rsidRPr="00A14125">
        <w:rPr>
          <w:spacing w:val="0"/>
          <w:sz w:val="24"/>
          <w:szCs w:val="24"/>
        </w:rPr>
        <w:t xml:space="preserve">изначаються регламентом ІСІ відповідно до вимог </w:t>
      </w:r>
      <w:r w:rsidRPr="00A14125">
        <w:rPr>
          <w:color w:val="000000"/>
          <w:spacing w:val="0"/>
          <w:sz w:val="24"/>
          <w:szCs w:val="24"/>
        </w:rPr>
        <w:t>Закону України "Про інститути спільного інвестування"</w:t>
      </w:r>
      <w:r w:rsidRPr="00A14125">
        <w:rPr>
          <w:spacing w:val="0"/>
          <w:sz w:val="24"/>
          <w:szCs w:val="24"/>
        </w:rPr>
        <w:t xml:space="preserve"> (далі - Закон), цього Положення та інших законів України.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3. Вимоги щодо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застосовуються до пайового інвестиційного фонду (далі - пайовий фонд) через шість місяців з дня реєстрації проспекту емісії інвестиційних сертифікатів такого фонду Національною комісією з цінних паперів та фондового ринку (далі - Комісія).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 xml:space="preserve">4. Вимоги щодо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застосовуються до корпоративного інвестиційного фонду (далі - корпоративний фонд) через шість місяців з дня реєстрації регламенту такого фонду Комісією.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5. Вимоги 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не застосовуються до кваліфікаційного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З дати прийняття рішення про ліквідацію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до такого ІСІ не застосовуються вимоги щодо структури активів ІСІ, передбачені </w:t>
      </w:r>
      <w:r w:rsidRPr="00A14125">
        <w:rPr>
          <w:color w:val="000000"/>
          <w:spacing w:val="0"/>
          <w:sz w:val="24"/>
          <w:szCs w:val="24"/>
        </w:rPr>
        <w:t>Законом</w:t>
      </w:r>
      <w:r w:rsidRPr="00A14125">
        <w:rPr>
          <w:spacing w:val="0"/>
          <w:sz w:val="24"/>
          <w:szCs w:val="24"/>
        </w:rPr>
        <w:t xml:space="preserve"> та цим Положенням.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(розділ І доповнено новим пунктом 6 згідно з рішенням Національної</w:t>
      </w:r>
      <w:r w:rsidRPr="00A14125">
        <w:rPr>
          <w:spacing w:val="0"/>
          <w:sz w:val="24"/>
          <w:szCs w:val="24"/>
        </w:rPr>
        <w:br/>
        <w:t> комісії з цінних паперів та фондового ринку від 17.12.2015 р. N 2132,</w:t>
      </w:r>
      <w:r w:rsidRPr="00A14125">
        <w:rPr>
          <w:spacing w:val="0"/>
          <w:sz w:val="24"/>
          <w:szCs w:val="24"/>
        </w:rPr>
        <w:br/>
        <w:t> у зв'язку з цим пункт 6 вважати пунктом 7)</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7. Пункт 7 розділу I виключено</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(розділ І доповнено пунктом 7 згідно з рішенням Національної</w:t>
      </w:r>
      <w:r w:rsidRPr="00A14125">
        <w:rPr>
          <w:spacing w:val="0"/>
          <w:sz w:val="24"/>
          <w:szCs w:val="24"/>
        </w:rPr>
        <w:br/>
        <w:t> комісії з цінних паперів та фондового ринку від 16.12.2014 р. N 1712,</w:t>
      </w:r>
      <w:r w:rsidRPr="00A14125">
        <w:rPr>
          <w:spacing w:val="0"/>
          <w:sz w:val="24"/>
          <w:szCs w:val="24"/>
        </w:rPr>
        <w:br/>
        <w:t>пункт 7 розділу I виключено згідно з рішенням Національної</w:t>
      </w:r>
      <w:r w:rsidRPr="00A14125">
        <w:rPr>
          <w:spacing w:val="0"/>
          <w:sz w:val="24"/>
          <w:szCs w:val="24"/>
        </w:rPr>
        <w:br/>
        <w:t> комісії з цінних паперів та фондового ринку від 27.12.2018 р. N 910)</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II. Загальні вимоги щодо складу та структури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1. Активи ІСІ складаються з грошових коштів, у тому числі в іноземній валюті, на поточних та депозитних рахунках, відкритих у банківських установах, банківських металів, об'єктів нерухомості, цінних паперів, визначених </w:t>
      </w:r>
      <w:r w:rsidRPr="00A14125">
        <w:rPr>
          <w:color w:val="000000"/>
          <w:spacing w:val="0"/>
          <w:sz w:val="24"/>
          <w:szCs w:val="24"/>
        </w:rPr>
        <w:t>Законом України "Про цінні папери та фондовий ринок"</w:t>
      </w:r>
      <w:r w:rsidRPr="00A14125">
        <w:rPr>
          <w:spacing w:val="0"/>
          <w:sz w:val="24"/>
          <w:szCs w:val="24"/>
        </w:rPr>
        <w:t xml:space="preserve">, цінних паперів іноземних держав та інших іноземних емітентів, корпоративних прав, виражених в інших, ніж цінні папери, формах, майнових прав і вимог, а також інших активів, дозволених законодавством України, з урахуванням обмежень, установлених </w:t>
      </w:r>
      <w:r w:rsidRPr="00A14125">
        <w:rPr>
          <w:color w:val="000000"/>
          <w:spacing w:val="0"/>
          <w:sz w:val="24"/>
          <w:szCs w:val="24"/>
        </w:rPr>
        <w:t>Законом</w:t>
      </w:r>
      <w:r w:rsidRPr="00A14125">
        <w:rPr>
          <w:spacing w:val="0"/>
          <w:sz w:val="24"/>
          <w:szCs w:val="24"/>
        </w:rPr>
        <w:t xml:space="preserve"> безпосередньо для конкретних типів та видів інвестиційних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Зазначені активи формуються (оплачуються) за рахунок коштів спільного інвестування.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Активи ІСІ не можуть включати: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цінні папери, випущені компанією з управління активами, зберігачем активів ІСІ, Центральним депозитарієм цінних паперів, оцінювачем майна ІСІ та аудитором (аудиторською фірмою) такого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цінні папери, випущені пов'язаними особами компанії з управління активами, зберігача активів ІСІ, Центрального депозитарію цінних паперів, оцінювача майна ІСІ та аудитора (аудиторської фірми) такого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цінні папери іноземних держав та іноземних юридичних осіб, не допущені до торгів на жодній з провідних іноземних бірж, перелік яких визначається Комісією;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цінні папери інших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облігації підприємств, іпотечні облігації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6) кошти і банківські метали, розміщені на поточних і депозитних рахунках у банках,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7) векселі та ощадні (депозитні) сертифікати на суму більш як 10 відсотків вартості активів ІСІ, якщо інше не встановлено нормативно-правовими актами Комісії;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8) товаророзпорядчі цінні папери, заставні;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9) сертифікати фондів операцій з нерухомістю (сертифікати ФОН);</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10) приватизаційні цінні папери;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11) договори про участь у фонді фінансування будівництва (ФФБ).</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Вимоги підпунктів 2, 3, 5 - 9 цього пункту не застосовуються до венчурних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До складу активів ІСІ не можуть входити цінні папери українських емітентів: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у яких відсутній міжнародний ідентифікаційний номер цінних паперів у разі, якщо його наявність передбачена чинним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якщо Комісією оприлюднена інформація, що емітенти цих цінних паперів: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протягом останніх двох років поспіль не розкривають регулярну річну інформацію;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перебувають у переліку підприємств, які відсутні за місцезнаходженням;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є збитковими протягом останніх двох років поспіль і при цьому їхні цінні папери не допущені до торгів на фондових біржах (для ІСІ 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Інформація про емітентів цінних паперів, зазначена у підпункті 2 цього пункту, оприлюднюється на сайті Комісії та/або в офіційному друкованому виданні Комісії.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У разі якщо цінні папери українських емітентів, зазначених у цьому пункті, перебувають у складі активів ІСІ на дату оприлюднення такої інформації, компанія з управління активами зобов'язана привести актив ІСІ у відповідність до вимог цього пункту протягом 30 робочих днів з дати оприлюднення такої інформації.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До складу активів ІСІ може входити іноземна валюта, у тому числі та, що придбана через банки, які мають відповідну ліцензію.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Обмеження щодо зобов'язань одного банку в активах ІСІ не застосовуються до коштів на поточних рахунках, відкритих у зберігача активів такого ІСІ.</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III. Вимоги щодо складу та структури активів диверсифікованого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диверсифікованого ІСІ складаються з цінних паперів, грошових коштів, у тому числі в іноземній валюті, на поточних та депозитних рахунках, відкритих у банківських установах, банківських металів, нерухомості та інших активів, дозволених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Структура активів диверсифікованого ІСІ має відповідати одночасно таким вимогам: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1) сумарна вартість цінних паперів одного емітента в активах ІСІ не перевищує 10 відсотків загального обсягу цінних паперів відповідного випуску цінних паперів такого емітента;</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сумарна вартість цінних паперів, які становлять активи ІСІ в обсязі, що перевищує 5 відсотків загального обсягу випуску цінних паперів, на момент їх придбання не перевищує 40 відсотків вартості чистих активів;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не менш як 70 відсотків загальної вартості активів диверсифікованого ІСІ повинні становити: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перший підпункту 3 пункту 2 розділу III із змінами, внесеними</w:t>
      </w:r>
      <w:r w:rsidRPr="00A14125">
        <w:rPr>
          <w:spacing w:val="0"/>
          <w:sz w:val="24"/>
          <w:szCs w:val="24"/>
        </w:rPr>
        <w:br/>
        <w:t>згідно з рішенням Національної комісії з цінних паперів та фондового ринку</w:t>
      </w:r>
      <w:r w:rsidRPr="00A14125">
        <w:rPr>
          <w:spacing w:val="0"/>
          <w:sz w:val="24"/>
          <w:szCs w:val="24"/>
        </w:rPr>
        <w:br/>
        <w:t> від 24.04.2018 р. N 247)</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кошти, у тому числі на банківських депозитних рахунках;</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банківські метали;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ощадні (депозитні) сертифікати;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облігації підприємств;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облігації місцевих позик;</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державні цінні папери;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цінні папери, що допущені до торгів на фондовій біржі.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ІСІ диверсифікованого виду забороняється: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розміщувати в цінні папери банків та банківські метали більше ніж 20 відсотків загальної вартості активів ІСІ. При цьому забороняється інвестувати понад 10 відсотків загальної вартості активів ІСІ в цінні папери та зобов'язання одного банку;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придбавати або додатково інвестувати в цінні папери та зобов'язання однієї юридичної особи (крім банку) більше ніж 5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придбавати або додатково інвестувати у державні цінні папери, цінні папери, забезпечені державною гарантією, більше ніж 50 відсотків загальної вартості активів ІСІ. При цьому забороняється інвестувати понад 10 відсотків загальної вартості активів ІСІ у цінні папери одного випуску;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придбавати або додатково інвестувати в цінні папери органів місцевого самоврядування більше ніж 40 відсотків загальної вартості активів ІСІ. При цьому забороняється інвестувати понад 10 відсотків загальної вартості активів ІСІ у цінні папери органів місцевого самоврядування одного випуску;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придбавати або додатково інвестувати в цінні папери, доходи за якими гарантовано урядами іноземних держав, більше ніж 20 відсотків загальної вартості активів ІСІ. При цьому забороняється придбавати або додатково інвестувати в цінні папери, доходи за якими гарантовано урядом однієї іноземної держави, більше ніж 10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6) придбавати або додатково інвестувати в акції та облігації іноземних емітентів, які допущені до торгів на організованих фондових ринках іноземних держав, більше ніж 20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7) придбавати або додатково інвестувати в інші активи, передбачені законодавством України, більше ніж 5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8) придбавати або додатково інвестувати в об'єкти нерухомості більше ніж 10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Вартість цінних паперів, що не допущені до торгів на фондовій біржі, не може становити більше ніж 30 відсотків загальної вартості активів ІСІ 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десятий пункту 3 розділу III із змінами, внесеними згідно з</w:t>
      </w:r>
      <w:r w:rsidRPr="00A14125">
        <w:rPr>
          <w:spacing w:val="0"/>
          <w:sz w:val="24"/>
          <w:szCs w:val="24"/>
        </w:rPr>
        <w:br/>
        <w:t> рішенням Національної комісії з цінних паперів та фондового ринку</w:t>
      </w:r>
      <w:r w:rsidRPr="00A14125">
        <w:rPr>
          <w:spacing w:val="0"/>
          <w:sz w:val="24"/>
          <w:szCs w:val="24"/>
        </w:rPr>
        <w:br/>
        <w:t> від 24.04.2018 р. N 247)</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IV. Особливості складу та структури активів спеціалізованих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До спеціалізованих ІСІ належать інвестиційні фонди таких класів: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фонди грошового ринку;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фонди державних цінних паперів;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фонди облігацій;</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фонди акцій;</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індексні фонди;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фонди банківських металів.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2. Склад та структура активів спеціалізованих фондів повинні відповідати вимогам, які визначені у </w:t>
      </w:r>
      <w:r w:rsidRPr="00A14125">
        <w:rPr>
          <w:color w:val="000000"/>
          <w:spacing w:val="0"/>
          <w:sz w:val="24"/>
          <w:szCs w:val="24"/>
        </w:rPr>
        <w:t>статті 48 Закону</w:t>
      </w:r>
      <w:r w:rsidRPr="00A14125">
        <w:rPr>
          <w:spacing w:val="0"/>
          <w:sz w:val="24"/>
          <w:szCs w:val="24"/>
        </w:rPr>
        <w:t>.</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Визначення базового активу похідних (деривативів), які можуть бути включені до складу активів спеціалізованого ІСІ, здійснюється відповідно до актів законодавства, які встановлюють правила випуску та обігу таких похідних (деривативів).</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 Вимоги щодо складу та структури активів недиверсифікованого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недиверсифікованого ІСІ можуть становити всі активи, визначені в розділі II цього Положення, з урахуванням встановлених законодавством обмежень для недиверсифікованих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Структура активів недиверсифікованого ІСІ (крім венчурного ІСІ) повинна відповідати таким вимогам: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вартість нерухомості та цінних паперів, які не допущені до торгів на фондовій біржі, не може становити більше ніж 50 відсотків загальної вартості активів ІСІ недиверсифікованого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векселі та ощадні (депозитні) сертифікати не можуть становити більш як 30 відсотків вартості активів ІСІ недиверсифікованого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3. Активи венчурного фонду можуть повністю складатися з коштів, нерухомості, корпоративних прав, прав вимоги та цінних паперів, що не допущені до торгів на фондовій біржі.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До складу активів венчурного фонду можуть входити боргові зобов'язання. Такі зобов'язання можуть бути оформлені векселями, заставними, договорами відступлення права вимоги, позики та в інший спосіб, не заборонений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Венчурний фонд має право надавати кошти у позику. Позики за рахунок коштів венчурного фонду можуть надаватися тільки юридичним особам за умови, що не менш як 10 відсотків статутного капіталу відповідної юридичної особи належить такому венчурному фонду.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Права вимоги можуть придбаватися виключно до складу активів венчурного фонду та лише за кредитними договорами банків, укладеними з юридичними особами. Придбання компанією з управління активами до складу активів венчурного фонду прав вимоги за кредитними договорами здійснюється шляхом укладення договорів відступлення права вимоги з урахуванням обмежень, встановлених Законом та цим Положенням.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четвертий пункту 3 розділу V у редакції рішень</w:t>
      </w:r>
      <w:r w:rsidRPr="00A14125">
        <w:rPr>
          <w:spacing w:val="0"/>
          <w:sz w:val="24"/>
          <w:szCs w:val="24"/>
        </w:rPr>
        <w:br/>
        <w:t> Національної комісії з цінних паперів та фондового ринку</w:t>
      </w:r>
      <w:r w:rsidRPr="00A14125">
        <w:rPr>
          <w:spacing w:val="0"/>
          <w:sz w:val="24"/>
          <w:szCs w:val="24"/>
        </w:rPr>
        <w:br/>
        <w:t> від 17.12.2015 р. N 2132,</w:t>
      </w:r>
      <w:r w:rsidRPr="00A14125">
        <w:rPr>
          <w:spacing w:val="0"/>
          <w:sz w:val="24"/>
          <w:szCs w:val="24"/>
        </w:rPr>
        <w:br/>
        <w:t>від 27.12.2018 р. N 910,</w:t>
      </w:r>
      <w:r w:rsidRPr="00A14125">
        <w:rPr>
          <w:spacing w:val="0"/>
          <w:sz w:val="24"/>
          <w:szCs w:val="24"/>
        </w:rPr>
        <w:br/>
      </w:r>
      <w:r w:rsidRPr="00A14125">
        <w:rPr>
          <w:i/>
          <w:iCs/>
          <w:spacing w:val="0"/>
          <w:sz w:val="24"/>
          <w:szCs w:val="24"/>
        </w:rPr>
        <w:t>зміни, внесені підпунктом 2 пункту 1 рішення Національної комісії</w:t>
      </w:r>
      <w:r w:rsidRPr="00A14125">
        <w:rPr>
          <w:i/>
          <w:iCs/>
          <w:spacing w:val="0"/>
          <w:sz w:val="24"/>
          <w:szCs w:val="24"/>
        </w:rPr>
        <w:br/>
        <w:t> з цінних паперів та фондового ринку від 27.12.2018 р. N 910, поширюються</w:t>
      </w:r>
      <w:r w:rsidRPr="00A14125">
        <w:rPr>
          <w:i/>
          <w:iCs/>
          <w:spacing w:val="0"/>
          <w:sz w:val="24"/>
          <w:szCs w:val="24"/>
        </w:rPr>
        <w:br/>
        <w:t> на договірні відносини, що виникли з дня набрання чинності зазначеним рішенням)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Придбання прав вимоги до складу активів венчурного фонду здійснюється за оціночною вартістю, що визначається з дотриманням вимог законодавства про оцінку майна, майнових прав та професійну оціночну діяльність в Україні, зокрема з урахуванням ризиків невиконання боржником своїх зобов'язань.</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п'ятий пункту 3 розділу V у редакції рішення Національної</w:t>
      </w:r>
      <w:r w:rsidRPr="00A14125">
        <w:rPr>
          <w:spacing w:val="0"/>
          <w:sz w:val="24"/>
          <w:szCs w:val="24"/>
        </w:rPr>
        <w:br/>
        <w:t> комісії з цінних паперів та фондового ринку від 27.12.2018 р. N 910,</w:t>
      </w:r>
      <w:r w:rsidRPr="00A14125">
        <w:rPr>
          <w:spacing w:val="0"/>
          <w:sz w:val="24"/>
          <w:szCs w:val="24"/>
        </w:rPr>
        <w:br/>
      </w:r>
      <w:r w:rsidRPr="00A14125">
        <w:rPr>
          <w:i/>
          <w:iCs/>
          <w:spacing w:val="0"/>
          <w:sz w:val="24"/>
          <w:szCs w:val="24"/>
        </w:rPr>
        <w:t>зміни, внесені підпунктом 2 пункту 1 рішення Національної комісії</w:t>
      </w:r>
      <w:r w:rsidRPr="00A14125">
        <w:rPr>
          <w:i/>
          <w:iCs/>
          <w:spacing w:val="0"/>
          <w:sz w:val="24"/>
          <w:szCs w:val="24"/>
        </w:rPr>
        <w:br/>
        <w:t> з цінних паперів та фондового ринку від 27.12.2018 р. N 910, поширюються</w:t>
      </w:r>
      <w:r w:rsidRPr="00A14125">
        <w:rPr>
          <w:i/>
          <w:iCs/>
          <w:spacing w:val="0"/>
          <w:sz w:val="24"/>
          <w:szCs w:val="24"/>
        </w:rPr>
        <w:br/>
        <w:t> на договірні відносини, що виникли з дня набрання чинності зазначеним рішенням)</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VI. Вимоги до складу активів ІСІ кваліфікаційного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ІСІ кваліфікаційного виду об'єднаного класу цінних паперів повністю складаються з цінних паперів та коштів.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Активи ІСІ кваліфікаційного виду класу нерухомості повністю складаються з нерухомості, майнових прав на нерухомість у процесі будівництва та коштів.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Активи ІСІ кваліфікаційного виду класу рентних активів можуть повністю складатись з майна та майнових прав, які перебувають у цивільному обороті, з урахуванням обмежень, передбачених для інститутів спільного інвестування.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Передача за плату третім особам майна та майнових прав, сформованих інститутом спільного інвестування кваліфікаційного виду класу рентних активів за рахунок коштів спільного інвестування, в інший, ніж укладення договору ренти, оренди (суборенди), спосіб забороняється (крім випадків ліквідації та/або необхідності здійснення реалізації активів для задоволення заяви на викуп цінних паперів такого фонду).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(Положення доповнено новим розділом VI згідно з рішенням</w:t>
      </w:r>
      <w:r w:rsidRPr="00A14125">
        <w:rPr>
          <w:spacing w:val="0"/>
          <w:sz w:val="24"/>
          <w:szCs w:val="24"/>
        </w:rPr>
        <w:br/>
        <w:t> Національної комісії з цінних паперів та фондового ринку</w:t>
      </w:r>
      <w:r w:rsidRPr="00A14125">
        <w:rPr>
          <w:spacing w:val="0"/>
          <w:sz w:val="24"/>
          <w:szCs w:val="24"/>
        </w:rPr>
        <w:br/>
        <w:t> від 17.12.2015 р. N 2132,</w:t>
      </w:r>
      <w:r w:rsidRPr="00A14125">
        <w:rPr>
          <w:spacing w:val="0"/>
          <w:sz w:val="24"/>
          <w:szCs w:val="24"/>
        </w:rPr>
        <w:br/>
        <w:t> у зв'язку з цим розділ VI вважати розділом VII)</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VII. Порядок дотримання вимог щодо структури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У разі порушення вимог цього Положення щодо структури активів ІСІ компанія з управління активами повинна усунути порушення протягом 30 робочих днів від дня його виникнення або протягом 2 місяців, якщо порушення виникло внаслідок виключення фондовими біржами з біржового списку цінних паперів, що складають активи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Якщо кредитний рейтинг цінних паперів, які входять до активів ІСІ (крім венчурного фонду), знизився нижче встановленого законодавством рівня, ІСІ (крім венчурного фонду) зобов'язані привести свої активи у відповідність до вимог цього Положення протягом року з дати зниження рейтингу.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Якщо рейтинг особи, зобов'язання якої перебувають в активах ІСІ або яка обслуговує ІСІ, знизився нижче встановленого законодавством рівня, ІСІ (крім венчурного фонду) зобов'язані привести свої активи та діяльність у відповідність до вимог цього Положення протягом року з дати зниження рейтингу.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Про усунення порушення вимог щодо структури активів ІСІ компанія з управління активами зобов'язана повідомити Комісію, надати оригінали або засвідчені підписом уповноваженої особи компанії з управління активами копії документів, які підтверджують його усунення, протягом десяти робочих днів з дати його усунення.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(пункт 4 розділу VII із змінами, внесеними згідно з рішенням</w:t>
      </w:r>
      <w:r w:rsidRPr="00A14125">
        <w:rPr>
          <w:spacing w:val="0"/>
          <w:sz w:val="24"/>
          <w:szCs w:val="24"/>
        </w:rPr>
        <w:br/>
        <w:t>Національної комісії з цінних паперів та фондового ринку від 27.12.2018 р. N 910)</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A14125" w:rsidRPr="00A14125" w:rsidTr="00A14125">
        <w:trPr>
          <w:tblCellSpacing w:w="22" w:type="dxa"/>
        </w:trPr>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Т. в. о. директора департаменту</w:t>
            </w:r>
            <w:r w:rsidRPr="00A14125">
              <w:rPr>
                <w:b/>
                <w:bCs/>
                <w:spacing w:val="0"/>
                <w:sz w:val="24"/>
                <w:szCs w:val="24"/>
              </w:rPr>
              <w:br/>
              <w:t>спільного інвестування та</w:t>
            </w:r>
            <w:r w:rsidRPr="00A14125">
              <w:rPr>
                <w:b/>
                <w:bCs/>
                <w:spacing w:val="0"/>
                <w:sz w:val="24"/>
                <w:szCs w:val="24"/>
              </w:rPr>
              <w:br/>
              <w:t>регулювання діяльності</w:t>
            </w:r>
            <w:r w:rsidRPr="00A14125">
              <w:rPr>
                <w:b/>
                <w:bCs/>
                <w:spacing w:val="0"/>
                <w:sz w:val="24"/>
                <w:szCs w:val="24"/>
              </w:rPr>
              <w:br/>
              <w:t>інституційних інвесторів</w:t>
            </w:r>
          </w:p>
        </w:tc>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 xml:space="preserve">В. В. </w:t>
            </w:r>
            <w:proofErr w:type="spellStart"/>
            <w:r w:rsidRPr="00A14125">
              <w:rPr>
                <w:b/>
                <w:bCs/>
                <w:spacing w:val="0"/>
                <w:sz w:val="24"/>
                <w:szCs w:val="24"/>
              </w:rPr>
              <w:t>Дерев'янкін</w:t>
            </w:r>
            <w:proofErr w:type="spellEnd"/>
          </w:p>
        </w:tc>
      </w:tr>
    </w:tbl>
    <w:p w:rsidR="00402F38" w:rsidRDefault="00402F38"/>
    <w:sectPr w:rsidR="00402F38" w:rsidSect="00AE34BC">
      <w:pgSz w:w="11906" w:h="16838"/>
      <w:pgMar w:top="850" w:right="850"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25"/>
    <w:rsid w:val="00402F38"/>
    <w:rsid w:val="00A14125"/>
    <w:rsid w:val="00AE34BC"/>
    <w:rsid w:val="00BC56F5"/>
    <w:rsid w:val="00D10D2A"/>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407FD"/>
  <w15:chartTrackingRefBased/>
  <w15:docId w15:val="{3EBEBC21-D060-483C-90E3-C2A9CB9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8"/>
      <w:szCs w:val="28"/>
      <w:lang w:val="uk-UA" w:eastAsia="uk-UA"/>
    </w:rPr>
  </w:style>
  <w:style w:type="paragraph" w:styleId="2">
    <w:name w:val="heading 2"/>
    <w:basedOn w:val="a"/>
    <w:qFormat/>
    <w:rsid w:val="00A14125"/>
    <w:pPr>
      <w:spacing w:before="100" w:beforeAutospacing="1" w:after="100" w:afterAutospacing="1"/>
      <w:outlineLvl w:val="1"/>
    </w:pPr>
    <w:rPr>
      <w:b/>
      <w:bCs/>
      <w:spacing w:val="0"/>
      <w:sz w:val="36"/>
      <w:szCs w:val="36"/>
    </w:rPr>
  </w:style>
  <w:style w:type="paragraph" w:styleId="3">
    <w:name w:val="heading 3"/>
    <w:basedOn w:val="a"/>
    <w:qFormat/>
    <w:rsid w:val="00A14125"/>
    <w:pPr>
      <w:spacing w:before="100" w:beforeAutospacing="1" w:after="100" w:afterAutospacing="1"/>
      <w:outlineLvl w:val="2"/>
    </w:pPr>
    <w:rPr>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A14125"/>
    <w:pPr>
      <w:spacing w:before="100" w:beforeAutospacing="1" w:after="100" w:afterAutospacing="1"/>
    </w:pPr>
    <w:rPr>
      <w:spacing w:val="0"/>
      <w:sz w:val="24"/>
      <w:szCs w:val="24"/>
    </w:rPr>
  </w:style>
  <w:style w:type="paragraph" w:customStyle="1" w:styleId="tcbmf">
    <w:name w:val="tc bmf"/>
    <w:basedOn w:val="a"/>
    <w:rsid w:val="00A14125"/>
    <w:pPr>
      <w:spacing w:before="100" w:beforeAutospacing="1" w:after="100" w:afterAutospacing="1"/>
    </w:pPr>
    <w:rPr>
      <w:spacing w:val="0"/>
      <w:sz w:val="24"/>
      <w:szCs w:val="24"/>
    </w:rPr>
  </w:style>
  <w:style w:type="paragraph" w:customStyle="1" w:styleId="tj">
    <w:name w:val="tj"/>
    <w:basedOn w:val="a"/>
    <w:rsid w:val="00A14125"/>
    <w:pPr>
      <w:spacing w:before="100" w:beforeAutospacing="1" w:after="100" w:afterAutospacing="1"/>
    </w:pPr>
    <w:rPr>
      <w:spacing w:val="0"/>
      <w:sz w:val="24"/>
      <w:szCs w:val="24"/>
    </w:rPr>
  </w:style>
  <w:style w:type="paragraph" w:customStyle="1" w:styleId="tjbmf">
    <w:name w:val="tj bmf"/>
    <w:basedOn w:val="a"/>
    <w:rsid w:val="00A14125"/>
    <w:pPr>
      <w:spacing w:before="100" w:beforeAutospacing="1" w:after="100" w:afterAutospacing="1"/>
    </w:pPr>
    <w:rPr>
      <w:spacing w:val="0"/>
      <w:sz w:val="24"/>
      <w:szCs w:val="24"/>
    </w:rPr>
  </w:style>
  <w:style w:type="paragraph" w:customStyle="1" w:styleId="tlreflinkmrw45">
    <w:name w:val="tl reflink mr w45"/>
    <w:basedOn w:val="a"/>
    <w:rsid w:val="00A14125"/>
    <w:pPr>
      <w:spacing w:before="100" w:beforeAutospacing="1" w:after="100" w:afterAutospacing="1"/>
    </w:pPr>
    <w:rPr>
      <w:spacing w:val="0"/>
      <w:sz w:val="24"/>
      <w:szCs w:val="24"/>
    </w:rPr>
  </w:style>
  <w:style w:type="paragraph" w:customStyle="1" w:styleId="trbmf">
    <w:name w:val="tr bmf"/>
    <w:basedOn w:val="a"/>
    <w:rsid w:val="00A14125"/>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9782">
      <w:bodyDiv w:val="1"/>
      <w:marLeft w:val="0"/>
      <w:marRight w:val="0"/>
      <w:marTop w:val="0"/>
      <w:marBottom w:val="0"/>
      <w:divBdr>
        <w:top w:val="none" w:sz="0" w:space="0" w:color="auto"/>
        <w:left w:val="none" w:sz="0" w:space="0" w:color="auto"/>
        <w:bottom w:val="none" w:sz="0" w:space="0" w:color="auto"/>
        <w:right w:val="none" w:sz="0" w:space="0" w:color="auto"/>
      </w:divBdr>
      <w:divsChild>
        <w:div w:id="1542859615">
          <w:marLeft w:val="0"/>
          <w:marRight w:val="0"/>
          <w:marTop w:val="0"/>
          <w:marBottom w:val="0"/>
          <w:divBdr>
            <w:top w:val="none" w:sz="0" w:space="0" w:color="auto"/>
            <w:left w:val="none" w:sz="0" w:space="0" w:color="auto"/>
            <w:bottom w:val="none" w:sz="0" w:space="0" w:color="auto"/>
            <w:right w:val="none" w:sz="0" w:space="0" w:color="auto"/>
          </w:divBdr>
          <w:divsChild>
            <w:div w:id="15352821">
              <w:marLeft w:val="0"/>
              <w:marRight w:val="0"/>
              <w:marTop w:val="0"/>
              <w:marBottom w:val="0"/>
              <w:divBdr>
                <w:top w:val="none" w:sz="0" w:space="0" w:color="auto"/>
                <w:left w:val="none" w:sz="0" w:space="0" w:color="auto"/>
                <w:bottom w:val="none" w:sz="0" w:space="0" w:color="auto"/>
                <w:right w:val="none" w:sz="0" w:space="0" w:color="auto"/>
              </w:divBdr>
            </w:div>
            <w:div w:id="62072384">
              <w:marLeft w:val="0"/>
              <w:marRight w:val="0"/>
              <w:marTop w:val="0"/>
              <w:marBottom w:val="0"/>
              <w:divBdr>
                <w:top w:val="none" w:sz="0" w:space="0" w:color="auto"/>
                <w:left w:val="none" w:sz="0" w:space="0" w:color="auto"/>
                <w:bottom w:val="none" w:sz="0" w:space="0" w:color="auto"/>
                <w:right w:val="none" w:sz="0" w:space="0" w:color="auto"/>
              </w:divBdr>
            </w:div>
            <w:div w:id="67655320">
              <w:marLeft w:val="0"/>
              <w:marRight w:val="0"/>
              <w:marTop w:val="0"/>
              <w:marBottom w:val="0"/>
              <w:divBdr>
                <w:top w:val="none" w:sz="0" w:space="0" w:color="auto"/>
                <w:left w:val="none" w:sz="0" w:space="0" w:color="auto"/>
                <w:bottom w:val="none" w:sz="0" w:space="0" w:color="auto"/>
                <w:right w:val="none" w:sz="0" w:space="0" w:color="auto"/>
              </w:divBdr>
            </w:div>
            <w:div w:id="91585732">
              <w:marLeft w:val="0"/>
              <w:marRight w:val="0"/>
              <w:marTop w:val="0"/>
              <w:marBottom w:val="0"/>
              <w:divBdr>
                <w:top w:val="none" w:sz="0" w:space="0" w:color="auto"/>
                <w:left w:val="none" w:sz="0" w:space="0" w:color="auto"/>
                <w:bottom w:val="none" w:sz="0" w:space="0" w:color="auto"/>
                <w:right w:val="none" w:sz="0" w:space="0" w:color="auto"/>
              </w:divBdr>
            </w:div>
            <w:div w:id="95448591">
              <w:marLeft w:val="0"/>
              <w:marRight w:val="0"/>
              <w:marTop w:val="0"/>
              <w:marBottom w:val="0"/>
              <w:divBdr>
                <w:top w:val="none" w:sz="0" w:space="0" w:color="auto"/>
                <w:left w:val="none" w:sz="0" w:space="0" w:color="auto"/>
                <w:bottom w:val="none" w:sz="0" w:space="0" w:color="auto"/>
                <w:right w:val="none" w:sz="0" w:space="0" w:color="auto"/>
              </w:divBdr>
            </w:div>
            <w:div w:id="101465292">
              <w:marLeft w:val="0"/>
              <w:marRight w:val="0"/>
              <w:marTop w:val="0"/>
              <w:marBottom w:val="0"/>
              <w:divBdr>
                <w:top w:val="none" w:sz="0" w:space="0" w:color="auto"/>
                <w:left w:val="none" w:sz="0" w:space="0" w:color="auto"/>
                <w:bottom w:val="none" w:sz="0" w:space="0" w:color="auto"/>
                <w:right w:val="none" w:sz="0" w:space="0" w:color="auto"/>
              </w:divBdr>
            </w:div>
            <w:div w:id="191768721">
              <w:marLeft w:val="0"/>
              <w:marRight w:val="0"/>
              <w:marTop w:val="0"/>
              <w:marBottom w:val="0"/>
              <w:divBdr>
                <w:top w:val="none" w:sz="0" w:space="0" w:color="auto"/>
                <w:left w:val="none" w:sz="0" w:space="0" w:color="auto"/>
                <w:bottom w:val="none" w:sz="0" w:space="0" w:color="auto"/>
                <w:right w:val="none" w:sz="0" w:space="0" w:color="auto"/>
              </w:divBdr>
            </w:div>
            <w:div w:id="216355946">
              <w:marLeft w:val="0"/>
              <w:marRight w:val="0"/>
              <w:marTop w:val="0"/>
              <w:marBottom w:val="0"/>
              <w:divBdr>
                <w:top w:val="none" w:sz="0" w:space="0" w:color="auto"/>
                <w:left w:val="none" w:sz="0" w:space="0" w:color="auto"/>
                <w:bottom w:val="none" w:sz="0" w:space="0" w:color="auto"/>
                <w:right w:val="none" w:sz="0" w:space="0" w:color="auto"/>
              </w:divBdr>
            </w:div>
            <w:div w:id="217518759">
              <w:marLeft w:val="0"/>
              <w:marRight w:val="0"/>
              <w:marTop w:val="0"/>
              <w:marBottom w:val="0"/>
              <w:divBdr>
                <w:top w:val="none" w:sz="0" w:space="0" w:color="auto"/>
                <w:left w:val="none" w:sz="0" w:space="0" w:color="auto"/>
                <w:bottom w:val="none" w:sz="0" w:space="0" w:color="auto"/>
                <w:right w:val="none" w:sz="0" w:space="0" w:color="auto"/>
              </w:divBdr>
            </w:div>
            <w:div w:id="250164522">
              <w:marLeft w:val="0"/>
              <w:marRight w:val="0"/>
              <w:marTop w:val="0"/>
              <w:marBottom w:val="0"/>
              <w:divBdr>
                <w:top w:val="none" w:sz="0" w:space="0" w:color="auto"/>
                <w:left w:val="none" w:sz="0" w:space="0" w:color="auto"/>
                <w:bottom w:val="none" w:sz="0" w:space="0" w:color="auto"/>
                <w:right w:val="none" w:sz="0" w:space="0" w:color="auto"/>
              </w:divBdr>
            </w:div>
            <w:div w:id="256183230">
              <w:marLeft w:val="0"/>
              <w:marRight w:val="0"/>
              <w:marTop w:val="0"/>
              <w:marBottom w:val="0"/>
              <w:divBdr>
                <w:top w:val="none" w:sz="0" w:space="0" w:color="auto"/>
                <w:left w:val="none" w:sz="0" w:space="0" w:color="auto"/>
                <w:bottom w:val="none" w:sz="0" w:space="0" w:color="auto"/>
                <w:right w:val="none" w:sz="0" w:space="0" w:color="auto"/>
              </w:divBdr>
            </w:div>
            <w:div w:id="259532620">
              <w:marLeft w:val="0"/>
              <w:marRight w:val="0"/>
              <w:marTop w:val="0"/>
              <w:marBottom w:val="0"/>
              <w:divBdr>
                <w:top w:val="none" w:sz="0" w:space="0" w:color="auto"/>
                <w:left w:val="none" w:sz="0" w:space="0" w:color="auto"/>
                <w:bottom w:val="none" w:sz="0" w:space="0" w:color="auto"/>
                <w:right w:val="none" w:sz="0" w:space="0" w:color="auto"/>
              </w:divBdr>
            </w:div>
            <w:div w:id="261575504">
              <w:marLeft w:val="0"/>
              <w:marRight w:val="0"/>
              <w:marTop w:val="0"/>
              <w:marBottom w:val="0"/>
              <w:divBdr>
                <w:top w:val="none" w:sz="0" w:space="0" w:color="auto"/>
                <w:left w:val="none" w:sz="0" w:space="0" w:color="auto"/>
                <w:bottom w:val="none" w:sz="0" w:space="0" w:color="auto"/>
                <w:right w:val="none" w:sz="0" w:space="0" w:color="auto"/>
              </w:divBdr>
            </w:div>
            <w:div w:id="268197103">
              <w:marLeft w:val="0"/>
              <w:marRight w:val="0"/>
              <w:marTop w:val="0"/>
              <w:marBottom w:val="0"/>
              <w:divBdr>
                <w:top w:val="none" w:sz="0" w:space="0" w:color="auto"/>
                <w:left w:val="none" w:sz="0" w:space="0" w:color="auto"/>
                <w:bottom w:val="none" w:sz="0" w:space="0" w:color="auto"/>
                <w:right w:val="none" w:sz="0" w:space="0" w:color="auto"/>
              </w:divBdr>
            </w:div>
            <w:div w:id="287588622">
              <w:marLeft w:val="0"/>
              <w:marRight w:val="0"/>
              <w:marTop w:val="0"/>
              <w:marBottom w:val="0"/>
              <w:divBdr>
                <w:top w:val="none" w:sz="0" w:space="0" w:color="auto"/>
                <w:left w:val="none" w:sz="0" w:space="0" w:color="auto"/>
                <w:bottom w:val="none" w:sz="0" w:space="0" w:color="auto"/>
                <w:right w:val="none" w:sz="0" w:space="0" w:color="auto"/>
              </w:divBdr>
            </w:div>
            <w:div w:id="313265951">
              <w:marLeft w:val="0"/>
              <w:marRight w:val="0"/>
              <w:marTop w:val="0"/>
              <w:marBottom w:val="0"/>
              <w:divBdr>
                <w:top w:val="none" w:sz="0" w:space="0" w:color="auto"/>
                <w:left w:val="none" w:sz="0" w:space="0" w:color="auto"/>
                <w:bottom w:val="none" w:sz="0" w:space="0" w:color="auto"/>
                <w:right w:val="none" w:sz="0" w:space="0" w:color="auto"/>
              </w:divBdr>
            </w:div>
            <w:div w:id="320423693">
              <w:marLeft w:val="0"/>
              <w:marRight w:val="0"/>
              <w:marTop w:val="0"/>
              <w:marBottom w:val="0"/>
              <w:divBdr>
                <w:top w:val="none" w:sz="0" w:space="0" w:color="auto"/>
                <w:left w:val="none" w:sz="0" w:space="0" w:color="auto"/>
                <w:bottom w:val="none" w:sz="0" w:space="0" w:color="auto"/>
                <w:right w:val="none" w:sz="0" w:space="0" w:color="auto"/>
              </w:divBdr>
            </w:div>
            <w:div w:id="332688070">
              <w:marLeft w:val="0"/>
              <w:marRight w:val="0"/>
              <w:marTop w:val="0"/>
              <w:marBottom w:val="0"/>
              <w:divBdr>
                <w:top w:val="none" w:sz="0" w:space="0" w:color="auto"/>
                <w:left w:val="none" w:sz="0" w:space="0" w:color="auto"/>
                <w:bottom w:val="none" w:sz="0" w:space="0" w:color="auto"/>
                <w:right w:val="none" w:sz="0" w:space="0" w:color="auto"/>
              </w:divBdr>
            </w:div>
            <w:div w:id="362947332">
              <w:marLeft w:val="0"/>
              <w:marRight w:val="0"/>
              <w:marTop w:val="0"/>
              <w:marBottom w:val="0"/>
              <w:divBdr>
                <w:top w:val="none" w:sz="0" w:space="0" w:color="auto"/>
                <w:left w:val="none" w:sz="0" w:space="0" w:color="auto"/>
                <w:bottom w:val="none" w:sz="0" w:space="0" w:color="auto"/>
                <w:right w:val="none" w:sz="0" w:space="0" w:color="auto"/>
              </w:divBdr>
            </w:div>
            <w:div w:id="402528759">
              <w:marLeft w:val="0"/>
              <w:marRight w:val="0"/>
              <w:marTop w:val="0"/>
              <w:marBottom w:val="0"/>
              <w:divBdr>
                <w:top w:val="none" w:sz="0" w:space="0" w:color="auto"/>
                <w:left w:val="none" w:sz="0" w:space="0" w:color="auto"/>
                <w:bottom w:val="none" w:sz="0" w:space="0" w:color="auto"/>
                <w:right w:val="none" w:sz="0" w:space="0" w:color="auto"/>
              </w:divBdr>
            </w:div>
            <w:div w:id="417288613">
              <w:marLeft w:val="0"/>
              <w:marRight w:val="0"/>
              <w:marTop w:val="0"/>
              <w:marBottom w:val="0"/>
              <w:divBdr>
                <w:top w:val="none" w:sz="0" w:space="0" w:color="auto"/>
                <w:left w:val="none" w:sz="0" w:space="0" w:color="auto"/>
                <w:bottom w:val="none" w:sz="0" w:space="0" w:color="auto"/>
                <w:right w:val="none" w:sz="0" w:space="0" w:color="auto"/>
              </w:divBdr>
            </w:div>
            <w:div w:id="427119744">
              <w:marLeft w:val="0"/>
              <w:marRight w:val="0"/>
              <w:marTop w:val="0"/>
              <w:marBottom w:val="0"/>
              <w:divBdr>
                <w:top w:val="none" w:sz="0" w:space="0" w:color="auto"/>
                <w:left w:val="none" w:sz="0" w:space="0" w:color="auto"/>
                <w:bottom w:val="none" w:sz="0" w:space="0" w:color="auto"/>
                <w:right w:val="none" w:sz="0" w:space="0" w:color="auto"/>
              </w:divBdr>
            </w:div>
            <w:div w:id="431125556">
              <w:marLeft w:val="0"/>
              <w:marRight w:val="0"/>
              <w:marTop w:val="0"/>
              <w:marBottom w:val="0"/>
              <w:divBdr>
                <w:top w:val="none" w:sz="0" w:space="0" w:color="auto"/>
                <w:left w:val="none" w:sz="0" w:space="0" w:color="auto"/>
                <w:bottom w:val="none" w:sz="0" w:space="0" w:color="auto"/>
                <w:right w:val="none" w:sz="0" w:space="0" w:color="auto"/>
              </w:divBdr>
            </w:div>
            <w:div w:id="467281491">
              <w:marLeft w:val="0"/>
              <w:marRight w:val="0"/>
              <w:marTop w:val="0"/>
              <w:marBottom w:val="0"/>
              <w:divBdr>
                <w:top w:val="none" w:sz="0" w:space="0" w:color="auto"/>
                <w:left w:val="none" w:sz="0" w:space="0" w:color="auto"/>
                <w:bottom w:val="none" w:sz="0" w:space="0" w:color="auto"/>
                <w:right w:val="none" w:sz="0" w:space="0" w:color="auto"/>
              </w:divBdr>
            </w:div>
            <w:div w:id="470291820">
              <w:marLeft w:val="0"/>
              <w:marRight w:val="0"/>
              <w:marTop w:val="0"/>
              <w:marBottom w:val="0"/>
              <w:divBdr>
                <w:top w:val="none" w:sz="0" w:space="0" w:color="auto"/>
                <w:left w:val="none" w:sz="0" w:space="0" w:color="auto"/>
                <w:bottom w:val="none" w:sz="0" w:space="0" w:color="auto"/>
                <w:right w:val="none" w:sz="0" w:space="0" w:color="auto"/>
              </w:divBdr>
            </w:div>
            <w:div w:id="502822073">
              <w:marLeft w:val="0"/>
              <w:marRight w:val="0"/>
              <w:marTop w:val="0"/>
              <w:marBottom w:val="0"/>
              <w:divBdr>
                <w:top w:val="none" w:sz="0" w:space="0" w:color="auto"/>
                <w:left w:val="none" w:sz="0" w:space="0" w:color="auto"/>
                <w:bottom w:val="none" w:sz="0" w:space="0" w:color="auto"/>
                <w:right w:val="none" w:sz="0" w:space="0" w:color="auto"/>
              </w:divBdr>
            </w:div>
            <w:div w:id="511535644">
              <w:marLeft w:val="0"/>
              <w:marRight w:val="0"/>
              <w:marTop w:val="0"/>
              <w:marBottom w:val="0"/>
              <w:divBdr>
                <w:top w:val="none" w:sz="0" w:space="0" w:color="auto"/>
                <w:left w:val="none" w:sz="0" w:space="0" w:color="auto"/>
                <w:bottom w:val="none" w:sz="0" w:space="0" w:color="auto"/>
                <w:right w:val="none" w:sz="0" w:space="0" w:color="auto"/>
              </w:divBdr>
            </w:div>
            <w:div w:id="517238701">
              <w:marLeft w:val="0"/>
              <w:marRight w:val="0"/>
              <w:marTop w:val="0"/>
              <w:marBottom w:val="0"/>
              <w:divBdr>
                <w:top w:val="none" w:sz="0" w:space="0" w:color="auto"/>
                <w:left w:val="none" w:sz="0" w:space="0" w:color="auto"/>
                <w:bottom w:val="none" w:sz="0" w:space="0" w:color="auto"/>
                <w:right w:val="none" w:sz="0" w:space="0" w:color="auto"/>
              </w:divBdr>
            </w:div>
            <w:div w:id="534581840">
              <w:marLeft w:val="0"/>
              <w:marRight w:val="0"/>
              <w:marTop w:val="0"/>
              <w:marBottom w:val="0"/>
              <w:divBdr>
                <w:top w:val="none" w:sz="0" w:space="0" w:color="auto"/>
                <w:left w:val="none" w:sz="0" w:space="0" w:color="auto"/>
                <w:bottom w:val="none" w:sz="0" w:space="0" w:color="auto"/>
                <w:right w:val="none" w:sz="0" w:space="0" w:color="auto"/>
              </w:divBdr>
            </w:div>
            <w:div w:id="536310866">
              <w:marLeft w:val="0"/>
              <w:marRight w:val="0"/>
              <w:marTop w:val="0"/>
              <w:marBottom w:val="0"/>
              <w:divBdr>
                <w:top w:val="none" w:sz="0" w:space="0" w:color="auto"/>
                <w:left w:val="none" w:sz="0" w:space="0" w:color="auto"/>
                <w:bottom w:val="none" w:sz="0" w:space="0" w:color="auto"/>
                <w:right w:val="none" w:sz="0" w:space="0" w:color="auto"/>
              </w:divBdr>
            </w:div>
            <w:div w:id="540558764">
              <w:marLeft w:val="0"/>
              <w:marRight w:val="0"/>
              <w:marTop w:val="0"/>
              <w:marBottom w:val="0"/>
              <w:divBdr>
                <w:top w:val="none" w:sz="0" w:space="0" w:color="auto"/>
                <w:left w:val="none" w:sz="0" w:space="0" w:color="auto"/>
                <w:bottom w:val="none" w:sz="0" w:space="0" w:color="auto"/>
                <w:right w:val="none" w:sz="0" w:space="0" w:color="auto"/>
              </w:divBdr>
            </w:div>
            <w:div w:id="544760122">
              <w:marLeft w:val="0"/>
              <w:marRight w:val="0"/>
              <w:marTop w:val="0"/>
              <w:marBottom w:val="0"/>
              <w:divBdr>
                <w:top w:val="none" w:sz="0" w:space="0" w:color="auto"/>
                <w:left w:val="none" w:sz="0" w:space="0" w:color="auto"/>
                <w:bottom w:val="none" w:sz="0" w:space="0" w:color="auto"/>
                <w:right w:val="none" w:sz="0" w:space="0" w:color="auto"/>
              </w:divBdr>
            </w:div>
            <w:div w:id="547642264">
              <w:marLeft w:val="0"/>
              <w:marRight w:val="0"/>
              <w:marTop w:val="0"/>
              <w:marBottom w:val="0"/>
              <w:divBdr>
                <w:top w:val="none" w:sz="0" w:space="0" w:color="auto"/>
                <w:left w:val="none" w:sz="0" w:space="0" w:color="auto"/>
                <w:bottom w:val="none" w:sz="0" w:space="0" w:color="auto"/>
                <w:right w:val="none" w:sz="0" w:space="0" w:color="auto"/>
              </w:divBdr>
            </w:div>
            <w:div w:id="557596708">
              <w:marLeft w:val="0"/>
              <w:marRight w:val="0"/>
              <w:marTop w:val="0"/>
              <w:marBottom w:val="0"/>
              <w:divBdr>
                <w:top w:val="none" w:sz="0" w:space="0" w:color="auto"/>
                <w:left w:val="none" w:sz="0" w:space="0" w:color="auto"/>
                <w:bottom w:val="none" w:sz="0" w:space="0" w:color="auto"/>
                <w:right w:val="none" w:sz="0" w:space="0" w:color="auto"/>
              </w:divBdr>
            </w:div>
            <w:div w:id="576748234">
              <w:marLeft w:val="0"/>
              <w:marRight w:val="0"/>
              <w:marTop w:val="0"/>
              <w:marBottom w:val="0"/>
              <w:divBdr>
                <w:top w:val="none" w:sz="0" w:space="0" w:color="auto"/>
                <w:left w:val="none" w:sz="0" w:space="0" w:color="auto"/>
                <w:bottom w:val="none" w:sz="0" w:space="0" w:color="auto"/>
                <w:right w:val="none" w:sz="0" w:space="0" w:color="auto"/>
              </w:divBdr>
            </w:div>
            <w:div w:id="579945453">
              <w:marLeft w:val="0"/>
              <w:marRight w:val="0"/>
              <w:marTop w:val="0"/>
              <w:marBottom w:val="0"/>
              <w:divBdr>
                <w:top w:val="none" w:sz="0" w:space="0" w:color="auto"/>
                <w:left w:val="none" w:sz="0" w:space="0" w:color="auto"/>
                <w:bottom w:val="none" w:sz="0" w:space="0" w:color="auto"/>
                <w:right w:val="none" w:sz="0" w:space="0" w:color="auto"/>
              </w:divBdr>
            </w:div>
            <w:div w:id="592275262">
              <w:marLeft w:val="0"/>
              <w:marRight w:val="0"/>
              <w:marTop w:val="0"/>
              <w:marBottom w:val="0"/>
              <w:divBdr>
                <w:top w:val="none" w:sz="0" w:space="0" w:color="auto"/>
                <w:left w:val="none" w:sz="0" w:space="0" w:color="auto"/>
                <w:bottom w:val="none" w:sz="0" w:space="0" w:color="auto"/>
                <w:right w:val="none" w:sz="0" w:space="0" w:color="auto"/>
              </w:divBdr>
            </w:div>
            <w:div w:id="619606286">
              <w:marLeft w:val="0"/>
              <w:marRight w:val="0"/>
              <w:marTop w:val="0"/>
              <w:marBottom w:val="0"/>
              <w:divBdr>
                <w:top w:val="none" w:sz="0" w:space="0" w:color="auto"/>
                <w:left w:val="none" w:sz="0" w:space="0" w:color="auto"/>
                <w:bottom w:val="none" w:sz="0" w:space="0" w:color="auto"/>
                <w:right w:val="none" w:sz="0" w:space="0" w:color="auto"/>
              </w:divBdr>
            </w:div>
            <w:div w:id="659848806">
              <w:marLeft w:val="0"/>
              <w:marRight w:val="0"/>
              <w:marTop w:val="0"/>
              <w:marBottom w:val="0"/>
              <w:divBdr>
                <w:top w:val="none" w:sz="0" w:space="0" w:color="auto"/>
                <w:left w:val="none" w:sz="0" w:space="0" w:color="auto"/>
                <w:bottom w:val="none" w:sz="0" w:space="0" w:color="auto"/>
                <w:right w:val="none" w:sz="0" w:space="0" w:color="auto"/>
              </w:divBdr>
            </w:div>
            <w:div w:id="663507117">
              <w:marLeft w:val="0"/>
              <w:marRight w:val="0"/>
              <w:marTop w:val="0"/>
              <w:marBottom w:val="0"/>
              <w:divBdr>
                <w:top w:val="none" w:sz="0" w:space="0" w:color="auto"/>
                <w:left w:val="none" w:sz="0" w:space="0" w:color="auto"/>
                <w:bottom w:val="none" w:sz="0" w:space="0" w:color="auto"/>
                <w:right w:val="none" w:sz="0" w:space="0" w:color="auto"/>
              </w:divBdr>
            </w:div>
            <w:div w:id="688945855">
              <w:marLeft w:val="0"/>
              <w:marRight w:val="0"/>
              <w:marTop w:val="0"/>
              <w:marBottom w:val="0"/>
              <w:divBdr>
                <w:top w:val="none" w:sz="0" w:space="0" w:color="auto"/>
                <w:left w:val="none" w:sz="0" w:space="0" w:color="auto"/>
                <w:bottom w:val="none" w:sz="0" w:space="0" w:color="auto"/>
                <w:right w:val="none" w:sz="0" w:space="0" w:color="auto"/>
              </w:divBdr>
            </w:div>
            <w:div w:id="695041182">
              <w:marLeft w:val="0"/>
              <w:marRight w:val="0"/>
              <w:marTop w:val="0"/>
              <w:marBottom w:val="0"/>
              <w:divBdr>
                <w:top w:val="none" w:sz="0" w:space="0" w:color="auto"/>
                <w:left w:val="none" w:sz="0" w:space="0" w:color="auto"/>
                <w:bottom w:val="none" w:sz="0" w:space="0" w:color="auto"/>
                <w:right w:val="none" w:sz="0" w:space="0" w:color="auto"/>
              </w:divBdr>
            </w:div>
            <w:div w:id="740450293">
              <w:marLeft w:val="0"/>
              <w:marRight w:val="0"/>
              <w:marTop w:val="0"/>
              <w:marBottom w:val="0"/>
              <w:divBdr>
                <w:top w:val="none" w:sz="0" w:space="0" w:color="auto"/>
                <w:left w:val="none" w:sz="0" w:space="0" w:color="auto"/>
                <w:bottom w:val="none" w:sz="0" w:space="0" w:color="auto"/>
                <w:right w:val="none" w:sz="0" w:space="0" w:color="auto"/>
              </w:divBdr>
            </w:div>
            <w:div w:id="751270955">
              <w:marLeft w:val="0"/>
              <w:marRight w:val="0"/>
              <w:marTop w:val="0"/>
              <w:marBottom w:val="0"/>
              <w:divBdr>
                <w:top w:val="none" w:sz="0" w:space="0" w:color="auto"/>
                <w:left w:val="none" w:sz="0" w:space="0" w:color="auto"/>
                <w:bottom w:val="none" w:sz="0" w:space="0" w:color="auto"/>
                <w:right w:val="none" w:sz="0" w:space="0" w:color="auto"/>
              </w:divBdr>
            </w:div>
            <w:div w:id="769858877">
              <w:marLeft w:val="0"/>
              <w:marRight w:val="0"/>
              <w:marTop w:val="0"/>
              <w:marBottom w:val="0"/>
              <w:divBdr>
                <w:top w:val="none" w:sz="0" w:space="0" w:color="auto"/>
                <w:left w:val="none" w:sz="0" w:space="0" w:color="auto"/>
                <w:bottom w:val="none" w:sz="0" w:space="0" w:color="auto"/>
                <w:right w:val="none" w:sz="0" w:space="0" w:color="auto"/>
              </w:divBdr>
            </w:div>
            <w:div w:id="798844291">
              <w:marLeft w:val="0"/>
              <w:marRight w:val="0"/>
              <w:marTop w:val="0"/>
              <w:marBottom w:val="0"/>
              <w:divBdr>
                <w:top w:val="none" w:sz="0" w:space="0" w:color="auto"/>
                <w:left w:val="none" w:sz="0" w:space="0" w:color="auto"/>
                <w:bottom w:val="none" w:sz="0" w:space="0" w:color="auto"/>
                <w:right w:val="none" w:sz="0" w:space="0" w:color="auto"/>
              </w:divBdr>
            </w:div>
            <w:div w:id="823132545">
              <w:marLeft w:val="0"/>
              <w:marRight w:val="0"/>
              <w:marTop w:val="0"/>
              <w:marBottom w:val="0"/>
              <w:divBdr>
                <w:top w:val="none" w:sz="0" w:space="0" w:color="auto"/>
                <w:left w:val="none" w:sz="0" w:space="0" w:color="auto"/>
                <w:bottom w:val="none" w:sz="0" w:space="0" w:color="auto"/>
                <w:right w:val="none" w:sz="0" w:space="0" w:color="auto"/>
              </w:divBdr>
            </w:div>
            <w:div w:id="884216117">
              <w:marLeft w:val="0"/>
              <w:marRight w:val="0"/>
              <w:marTop w:val="0"/>
              <w:marBottom w:val="0"/>
              <w:divBdr>
                <w:top w:val="none" w:sz="0" w:space="0" w:color="auto"/>
                <w:left w:val="none" w:sz="0" w:space="0" w:color="auto"/>
                <w:bottom w:val="none" w:sz="0" w:space="0" w:color="auto"/>
                <w:right w:val="none" w:sz="0" w:space="0" w:color="auto"/>
              </w:divBdr>
            </w:div>
            <w:div w:id="887767347">
              <w:marLeft w:val="0"/>
              <w:marRight w:val="0"/>
              <w:marTop w:val="0"/>
              <w:marBottom w:val="0"/>
              <w:divBdr>
                <w:top w:val="none" w:sz="0" w:space="0" w:color="auto"/>
                <w:left w:val="none" w:sz="0" w:space="0" w:color="auto"/>
                <w:bottom w:val="none" w:sz="0" w:space="0" w:color="auto"/>
                <w:right w:val="none" w:sz="0" w:space="0" w:color="auto"/>
              </w:divBdr>
            </w:div>
            <w:div w:id="899941163">
              <w:marLeft w:val="0"/>
              <w:marRight w:val="0"/>
              <w:marTop w:val="0"/>
              <w:marBottom w:val="0"/>
              <w:divBdr>
                <w:top w:val="none" w:sz="0" w:space="0" w:color="auto"/>
                <w:left w:val="none" w:sz="0" w:space="0" w:color="auto"/>
                <w:bottom w:val="none" w:sz="0" w:space="0" w:color="auto"/>
                <w:right w:val="none" w:sz="0" w:space="0" w:color="auto"/>
              </w:divBdr>
            </w:div>
            <w:div w:id="900751692">
              <w:marLeft w:val="0"/>
              <w:marRight w:val="0"/>
              <w:marTop w:val="0"/>
              <w:marBottom w:val="0"/>
              <w:divBdr>
                <w:top w:val="none" w:sz="0" w:space="0" w:color="auto"/>
                <w:left w:val="none" w:sz="0" w:space="0" w:color="auto"/>
                <w:bottom w:val="none" w:sz="0" w:space="0" w:color="auto"/>
                <w:right w:val="none" w:sz="0" w:space="0" w:color="auto"/>
              </w:divBdr>
            </w:div>
            <w:div w:id="956563590">
              <w:marLeft w:val="0"/>
              <w:marRight w:val="0"/>
              <w:marTop w:val="0"/>
              <w:marBottom w:val="0"/>
              <w:divBdr>
                <w:top w:val="none" w:sz="0" w:space="0" w:color="auto"/>
                <w:left w:val="none" w:sz="0" w:space="0" w:color="auto"/>
                <w:bottom w:val="none" w:sz="0" w:space="0" w:color="auto"/>
                <w:right w:val="none" w:sz="0" w:space="0" w:color="auto"/>
              </w:divBdr>
            </w:div>
            <w:div w:id="972059205">
              <w:marLeft w:val="0"/>
              <w:marRight w:val="0"/>
              <w:marTop w:val="0"/>
              <w:marBottom w:val="0"/>
              <w:divBdr>
                <w:top w:val="none" w:sz="0" w:space="0" w:color="auto"/>
                <w:left w:val="none" w:sz="0" w:space="0" w:color="auto"/>
                <w:bottom w:val="none" w:sz="0" w:space="0" w:color="auto"/>
                <w:right w:val="none" w:sz="0" w:space="0" w:color="auto"/>
              </w:divBdr>
            </w:div>
            <w:div w:id="974485006">
              <w:marLeft w:val="0"/>
              <w:marRight w:val="0"/>
              <w:marTop w:val="0"/>
              <w:marBottom w:val="0"/>
              <w:divBdr>
                <w:top w:val="none" w:sz="0" w:space="0" w:color="auto"/>
                <w:left w:val="none" w:sz="0" w:space="0" w:color="auto"/>
                <w:bottom w:val="none" w:sz="0" w:space="0" w:color="auto"/>
                <w:right w:val="none" w:sz="0" w:space="0" w:color="auto"/>
              </w:divBdr>
            </w:div>
            <w:div w:id="1016079670">
              <w:marLeft w:val="0"/>
              <w:marRight w:val="0"/>
              <w:marTop w:val="0"/>
              <w:marBottom w:val="0"/>
              <w:divBdr>
                <w:top w:val="none" w:sz="0" w:space="0" w:color="auto"/>
                <w:left w:val="none" w:sz="0" w:space="0" w:color="auto"/>
                <w:bottom w:val="none" w:sz="0" w:space="0" w:color="auto"/>
                <w:right w:val="none" w:sz="0" w:space="0" w:color="auto"/>
              </w:divBdr>
            </w:div>
            <w:div w:id="1031954465">
              <w:marLeft w:val="0"/>
              <w:marRight w:val="0"/>
              <w:marTop w:val="0"/>
              <w:marBottom w:val="0"/>
              <w:divBdr>
                <w:top w:val="none" w:sz="0" w:space="0" w:color="auto"/>
                <w:left w:val="none" w:sz="0" w:space="0" w:color="auto"/>
                <w:bottom w:val="none" w:sz="0" w:space="0" w:color="auto"/>
                <w:right w:val="none" w:sz="0" w:space="0" w:color="auto"/>
              </w:divBdr>
            </w:div>
            <w:div w:id="1035615234">
              <w:marLeft w:val="0"/>
              <w:marRight w:val="0"/>
              <w:marTop w:val="0"/>
              <w:marBottom w:val="0"/>
              <w:divBdr>
                <w:top w:val="none" w:sz="0" w:space="0" w:color="auto"/>
                <w:left w:val="none" w:sz="0" w:space="0" w:color="auto"/>
                <w:bottom w:val="none" w:sz="0" w:space="0" w:color="auto"/>
                <w:right w:val="none" w:sz="0" w:space="0" w:color="auto"/>
              </w:divBdr>
            </w:div>
            <w:div w:id="1051076255">
              <w:marLeft w:val="0"/>
              <w:marRight w:val="0"/>
              <w:marTop w:val="0"/>
              <w:marBottom w:val="0"/>
              <w:divBdr>
                <w:top w:val="none" w:sz="0" w:space="0" w:color="auto"/>
                <w:left w:val="none" w:sz="0" w:space="0" w:color="auto"/>
                <w:bottom w:val="none" w:sz="0" w:space="0" w:color="auto"/>
                <w:right w:val="none" w:sz="0" w:space="0" w:color="auto"/>
              </w:divBdr>
            </w:div>
            <w:div w:id="1059668623">
              <w:marLeft w:val="0"/>
              <w:marRight w:val="0"/>
              <w:marTop w:val="0"/>
              <w:marBottom w:val="0"/>
              <w:divBdr>
                <w:top w:val="none" w:sz="0" w:space="0" w:color="auto"/>
                <w:left w:val="none" w:sz="0" w:space="0" w:color="auto"/>
                <w:bottom w:val="none" w:sz="0" w:space="0" w:color="auto"/>
                <w:right w:val="none" w:sz="0" w:space="0" w:color="auto"/>
              </w:divBdr>
            </w:div>
            <w:div w:id="1070736999">
              <w:marLeft w:val="0"/>
              <w:marRight w:val="0"/>
              <w:marTop w:val="0"/>
              <w:marBottom w:val="0"/>
              <w:divBdr>
                <w:top w:val="none" w:sz="0" w:space="0" w:color="auto"/>
                <w:left w:val="none" w:sz="0" w:space="0" w:color="auto"/>
                <w:bottom w:val="none" w:sz="0" w:space="0" w:color="auto"/>
                <w:right w:val="none" w:sz="0" w:space="0" w:color="auto"/>
              </w:divBdr>
            </w:div>
            <w:div w:id="1074939397">
              <w:marLeft w:val="0"/>
              <w:marRight w:val="0"/>
              <w:marTop w:val="0"/>
              <w:marBottom w:val="0"/>
              <w:divBdr>
                <w:top w:val="none" w:sz="0" w:space="0" w:color="auto"/>
                <w:left w:val="none" w:sz="0" w:space="0" w:color="auto"/>
                <w:bottom w:val="none" w:sz="0" w:space="0" w:color="auto"/>
                <w:right w:val="none" w:sz="0" w:space="0" w:color="auto"/>
              </w:divBdr>
            </w:div>
            <w:div w:id="1084767979">
              <w:marLeft w:val="0"/>
              <w:marRight w:val="0"/>
              <w:marTop w:val="0"/>
              <w:marBottom w:val="0"/>
              <w:divBdr>
                <w:top w:val="none" w:sz="0" w:space="0" w:color="auto"/>
                <w:left w:val="none" w:sz="0" w:space="0" w:color="auto"/>
                <w:bottom w:val="none" w:sz="0" w:space="0" w:color="auto"/>
                <w:right w:val="none" w:sz="0" w:space="0" w:color="auto"/>
              </w:divBdr>
            </w:div>
            <w:div w:id="1150052929">
              <w:marLeft w:val="0"/>
              <w:marRight w:val="0"/>
              <w:marTop w:val="0"/>
              <w:marBottom w:val="0"/>
              <w:divBdr>
                <w:top w:val="none" w:sz="0" w:space="0" w:color="auto"/>
                <w:left w:val="none" w:sz="0" w:space="0" w:color="auto"/>
                <w:bottom w:val="none" w:sz="0" w:space="0" w:color="auto"/>
                <w:right w:val="none" w:sz="0" w:space="0" w:color="auto"/>
              </w:divBdr>
            </w:div>
            <w:div w:id="1162965376">
              <w:marLeft w:val="0"/>
              <w:marRight w:val="0"/>
              <w:marTop w:val="0"/>
              <w:marBottom w:val="0"/>
              <w:divBdr>
                <w:top w:val="none" w:sz="0" w:space="0" w:color="auto"/>
                <w:left w:val="none" w:sz="0" w:space="0" w:color="auto"/>
                <w:bottom w:val="none" w:sz="0" w:space="0" w:color="auto"/>
                <w:right w:val="none" w:sz="0" w:space="0" w:color="auto"/>
              </w:divBdr>
            </w:div>
            <w:div w:id="1205167874">
              <w:marLeft w:val="0"/>
              <w:marRight w:val="0"/>
              <w:marTop w:val="0"/>
              <w:marBottom w:val="0"/>
              <w:divBdr>
                <w:top w:val="none" w:sz="0" w:space="0" w:color="auto"/>
                <w:left w:val="none" w:sz="0" w:space="0" w:color="auto"/>
                <w:bottom w:val="none" w:sz="0" w:space="0" w:color="auto"/>
                <w:right w:val="none" w:sz="0" w:space="0" w:color="auto"/>
              </w:divBdr>
            </w:div>
            <w:div w:id="1226523729">
              <w:marLeft w:val="0"/>
              <w:marRight w:val="0"/>
              <w:marTop w:val="0"/>
              <w:marBottom w:val="0"/>
              <w:divBdr>
                <w:top w:val="none" w:sz="0" w:space="0" w:color="auto"/>
                <w:left w:val="none" w:sz="0" w:space="0" w:color="auto"/>
                <w:bottom w:val="none" w:sz="0" w:space="0" w:color="auto"/>
                <w:right w:val="none" w:sz="0" w:space="0" w:color="auto"/>
              </w:divBdr>
            </w:div>
            <w:div w:id="1256016666">
              <w:marLeft w:val="0"/>
              <w:marRight w:val="0"/>
              <w:marTop w:val="0"/>
              <w:marBottom w:val="0"/>
              <w:divBdr>
                <w:top w:val="none" w:sz="0" w:space="0" w:color="auto"/>
                <w:left w:val="none" w:sz="0" w:space="0" w:color="auto"/>
                <w:bottom w:val="none" w:sz="0" w:space="0" w:color="auto"/>
                <w:right w:val="none" w:sz="0" w:space="0" w:color="auto"/>
              </w:divBdr>
            </w:div>
            <w:div w:id="1260334830">
              <w:marLeft w:val="0"/>
              <w:marRight w:val="0"/>
              <w:marTop w:val="0"/>
              <w:marBottom w:val="0"/>
              <w:divBdr>
                <w:top w:val="none" w:sz="0" w:space="0" w:color="auto"/>
                <w:left w:val="none" w:sz="0" w:space="0" w:color="auto"/>
                <w:bottom w:val="none" w:sz="0" w:space="0" w:color="auto"/>
                <w:right w:val="none" w:sz="0" w:space="0" w:color="auto"/>
              </w:divBdr>
            </w:div>
            <w:div w:id="1284262985">
              <w:marLeft w:val="0"/>
              <w:marRight w:val="0"/>
              <w:marTop w:val="0"/>
              <w:marBottom w:val="0"/>
              <w:divBdr>
                <w:top w:val="none" w:sz="0" w:space="0" w:color="auto"/>
                <w:left w:val="none" w:sz="0" w:space="0" w:color="auto"/>
                <w:bottom w:val="none" w:sz="0" w:space="0" w:color="auto"/>
                <w:right w:val="none" w:sz="0" w:space="0" w:color="auto"/>
              </w:divBdr>
            </w:div>
            <w:div w:id="1287394264">
              <w:marLeft w:val="0"/>
              <w:marRight w:val="0"/>
              <w:marTop w:val="0"/>
              <w:marBottom w:val="0"/>
              <w:divBdr>
                <w:top w:val="none" w:sz="0" w:space="0" w:color="auto"/>
                <w:left w:val="none" w:sz="0" w:space="0" w:color="auto"/>
                <w:bottom w:val="none" w:sz="0" w:space="0" w:color="auto"/>
                <w:right w:val="none" w:sz="0" w:space="0" w:color="auto"/>
              </w:divBdr>
            </w:div>
            <w:div w:id="1311011403">
              <w:marLeft w:val="0"/>
              <w:marRight w:val="0"/>
              <w:marTop w:val="0"/>
              <w:marBottom w:val="0"/>
              <w:divBdr>
                <w:top w:val="none" w:sz="0" w:space="0" w:color="auto"/>
                <w:left w:val="none" w:sz="0" w:space="0" w:color="auto"/>
                <w:bottom w:val="none" w:sz="0" w:space="0" w:color="auto"/>
                <w:right w:val="none" w:sz="0" w:space="0" w:color="auto"/>
              </w:divBdr>
            </w:div>
            <w:div w:id="1319455926">
              <w:marLeft w:val="0"/>
              <w:marRight w:val="0"/>
              <w:marTop w:val="0"/>
              <w:marBottom w:val="0"/>
              <w:divBdr>
                <w:top w:val="none" w:sz="0" w:space="0" w:color="auto"/>
                <w:left w:val="none" w:sz="0" w:space="0" w:color="auto"/>
                <w:bottom w:val="none" w:sz="0" w:space="0" w:color="auto"/>
                <w:right w:val="none" w:sz="0" w:space="0" w:color="auto"/>
              </w:divBdr>
            </w:div>
            <w:div w:id="1323584782">
              <w:marLeft w:val="0"/>
              <w:marRight w:val="0"/>
              <w:marTop w:val="0"/>
              <w:marBottom w:val="0"/>
              <w:divBdr>
                <w:top w:val="none" w:sz="0" w:space="0" w:color="auto"/>
                <w:left w:val="none" w:sz="0" w:space="0" w:color="auto"/>
                <w:bottom w:val="none" w:sz="0" w:space="0" w:color="auto"/>
                <w:right w:val="none" w:sz="0" w:space="0" w:color="auto"/>
              </w:divBdr>
            </w:div>
            <w:div w:id="1337924089">
              <w:marLeft w:val="0"/>
              <w:marRight w:val="0"/>
              <w:marTop w:val="0"/>
              <w:marBottom w:val="0"/>
              <w:divBdr>
                <w:top w:val="none" w:sz="0" w:space="0" w:color="auto"/>
                <w:left w:val="none" w:sz="0" w:space="0" w:color="auto"/>
                <w:bottom w:val="none" w:sz="0" w:space="0" w:color="auto"/>
                <w:right w:val="none" w:sz="0" w:space="0" w:color="auto"/>
              </w:divBdr>
            </w:div>
            <w:div w:id="1342463378">
              <w:marLeft w:val="0"/>
              <w:marRight w:val="0"/>
              <w:marTop w:val="0"/>
              <w:marBottom w:val="0"/>
              <w:divBdr>
                <w:top w:val="none" w:sz="0" w:space="0" w:color="auto"/>
                <w:left w:val="none" w:sz="0" w:space="0" w:color="auto"/>
                <w:bottom w:val="none" w:sz="0" w:space="0" w:color="auto"/>
                <w:right w:val="none" w:sz="0" w:space="0" w:color="auto"/>
              </w:divBdr>
            </w:div>
            <w:div w:id="1351646347">
              <w:marLeft w:val="0"/>
              <w:marRight w:val="0"/>
              <w:marTop w:val="0"/>
              <w:marBottom w:val="0"/>
              <w:divBdr>
                <w:top w:val="none" w:sz="0" w:space="0" w:color="auto"/>
                <w:left w:val="none" w:sz="0" w:space="0" w:color="auto"/>
                <w:bottom w:val="none" w:sz="0" w:space="0" w:color="auto"/>
                <w:right w:val="none" w:sz="0" w:space="0" w:color="auto"/>
              </w:divBdr>
            </w:div>
            <w:div w:id="1356880748">
              <w:marLeft w:val="0"/>
              <w:marRight w:val="0"/>
              <w:marTop w:val="0"/>
              <w:marBottom w:val="0"/>
              <w:divBdr>
                <w:top w:val="none" w:sz="0" w:space="0" w:color="auto"/>
                <w:left w:val="none" w:sz="0" w:space="0" w:color="auto"/>
                <w:bottom w:val="none" w:sz="0" w:space="0" w:color="auto"/>
                <w:right w:val="none" w:sz="0" w:space="0" w:color="auto"/>
              </w:divBdr>
            </w:div>
            <w:div w:id="1366784848">
              <w:marLeft w:val="0"/>
              <w:marRight w:val="0"/>
              <w:marTop w:val="0"/>
              <w:marBottom w:val="0"/>
              <w:divBdr>
                <w:top w:val="none" w:sz="0" w:space="0" w:color="auto"/>
                <w:left w:val="none" w:sz="0" w:space="0" w:color="auto"/>
                <w:bottom w:val="none" w:sz="0" w:space="0" w:color="auto"/>
                <w:right w:val="none" w:sz="0" w:space="0" w:color="auto"/>
              </w:divBdr>
            </w:div>
            <w:div w:id="1372920210">
              <w:marLeft w:val="0"/>
              <w:marRight w:val="0"/>
              <w:marTop w:val="0"/>
              <w:marBottom w:val="0"/>
              <w:divBdr>
                <w:top w:val="none" w:sz="0" w:space="0" w:color="auto"/>
                <w:left w:val="none" w:sz="0" w:space="0" w:color="auto"/>
                <w:bottom w:val="none" w:sz="0" w:space="0" w:color="auto"/>
                <w:right w:val="none" w:sz="0" w:space="0" w:color="auto"/>
              </w:divBdr>
            </w:div>
            <w:div w:id="1387531676">
              <w:marLeft w:val="0"/>
              <w:marRight w:val="0"/>
              <w:marTop w:val="0"/>
              <w:marBottom w:val="0"/>
              <w:divBdr>
                <w:top w:val="none" w:sz="0" w:space="0" w:color="auto"/>
                <w:left w:val="none" w:sz="0" w:space="0" w:color="auto"/>
                <w:bottom w:val="none" w:sz="0" w:space="0" w:color="auto"/>
                <w:right w:val="none" w:sz="0" w:space="0" w:color="auto"/>
              </w:divBdr>
            </w:div>
            <w:div w:id="1394504113">
              <w:marLeft w:val="0"/>
              <w:marRight w:val="0"/>
              <w:marTop w:val="0"/>
              <w:marBottom w:val="0"/>
              <w:divBdr>
                <w:top w:val="none" w:sz="0" w:space="0" w:color="auto"/>
                <w:left w:val="none" w:sz="0" w:space="0" w:color="auto"/>
                <w:bottom w:val="none" w:sz="0" w:space="0" w:color="auto"/>
                <w:right w:val="none" w:sz="0" w:space="0" w:color="auto"/>
              </w:divBdr>
            </w:div>
            <w:div w:id="1450585380">
              <w:marLeft w:val="0"/>
              <w:marRight w:val="0"/>
              <w:marTop w:val="0"/>
              <w:marBottom w:val="0"/>
              <w:divBdr>
                <w:top w:val="none" w:sz="0" w:space="0" w:color="auto"/>
                <w:left w:val="none" w:sz="0" w:space="0" w:color="auto"/>
                <w:bottom w:val="none" w:sz="0" w:space="0" w:color="auto"/>
                <w:right w:val="none" w:sz="0" w:space="0" w:color="auto"/>
              </w:divBdr>
            </w:div>
            <w:div w:id="1456296222">
              <w:marLeft w:val="0"/>
              <w:marRight w:val="0"/>
              <w:marTop w:val="0"/>
              <w:marBottom w:val="0"/>
              <w:divBdr>
                <w:top w:val="none" w:sz="0" w:space="0" w:color="auto"/>
                <w:left w:val="none" w:sz="0" w:space="0" w:color="auto"/>
                <w:bottom w:val="none" w:sz="0" w:space="0" w:color="auto"/>
                <w:right w:val="none" w:sz="0" w:space="0" w:color="auto"/>
              </w:divBdr>
            </w:div>
            <w:div w:id="1468014498">
              <w:marLeft w:val="0"/>
              <w:marRight w:val="0"/>
              <w:marTop w:val="0"/>
              <w:marBottom w:val="0"/>
              <w:divBdr>
                <w:top w:val="none" w:sz="0" w:space="0" w:color="auto"/>
                <w:left w:val="none" w:sz="0" w:space="0" w:color="auto"/>
                <w:bottom w:val="none" w:sz="0" w:space="0" w:color="auto"/>
                <w:right w:val="none" w:sz="0" w:space="0" w:color="auto"/>
              </w:divBdr>
            </w:div>
            <w:div w:id="1469519366">
              <w:marLeft w:val="0"/>
              <w:marRight w:val="0"/>
              <w:marTop w:val="0"/>
              <w:marBottom w:val="0"/>
              <w:divBdr>
                <w:top w:val="none" w:sz="0" w:space="0" w:color="auto"/>
                <w:left w:val="none" w:sz="0" w:space="0" w:color="auto"/>
                <w:bottom w:val="none" w:sz="0" w:space="0" w:color="auto"/>
                <w:right w:val="none" w:sz="0" w:space="0" w:color="auto"/>
              </w:divBdr>
            </w:div>
            <w:div w:id="1474249977">
              <w:marLeft w:val="0"/>
              <w:marRight w:val="0"/>
              <w:marTop w:val="0"/>
              <w:marBottom w:val="0"/>
              <w:divBdr>
                <w:top w:val="none" w:sz="0" w:space="0" w:color="auto"/>
                <w:left w:val="none" w:sz="0" w:space="0" w:color="auto"/>
                <w:bottom w:val="none" w:sz="0" w:space="0" w:color="auto"/>
                <w:right w:val="none" w:sz="0" w:space="0" w:color="auto"/>
              </w:divBdr>
            </w:div>
            <w:div w:id="1500463206">
              <w:marLeft w:val="0"/>
              <w:marRight w:val="0"/>
              <w:marTop w:val="0"/>
              <w:marBottom w:val="0"/>
              <w:divBdr>
                <w:top w:val="none" w:sz="0" w:space="0" w:color="auto"/>
                <w:left w:val="none" w:sz="0" w:space="0" w:color="auto"/>
                <w:bottom w:val="none" w:sz="0" w:space="0" w:color="auto"/>
                <w:right w:val="none" w:sz="0" w:space="0" w:color="auto"/>
              </w:divBdr>
            </w:div>
            <w:div w:id="1523278093">
              <w:marLeft w:val="0"/>
              <w:marRight w:val="0"/>
              <w:marTop w:val="0"/>
              <w:marBottom w:val="0"/>
              <w:divBdr>
                <w:top w:val="none" w:sz="0" w:space="0" w:color="auto"/>
                <w:left w:val="none" w:sz="0" w:space="0" w:color="auto"/>
                <w:bottom w:val="none" w:sz="0" w:space="0" w:color="auto"/>
                <w:right w:val="none" w:sz="0" w:space="0" w:color="auto"/>
              </w:divBdr>
            </w:div>
            <w:div w:id="1525902387">
              <w:marLeft w:val="0"/>
              <w:marRight w:val="0"/>
              <w:marTop w:val="0"/>
              <w:marBottom w:val="0"/>
              <w:divBdr>
                <w:top w:val="none" w:sz="0" w:space="0" w:color="auto"/>
                <w:left w:val="none" w:sz="0" w:space="0" w:color="auto"/>
                <w:bottom w:val="none" w:sz="0" w:space="0" w:color="auto"/>
                <w:right w:val="none" w:sz="0" w:space="0" w:color="auto"/>
              </w:divBdr>
            </w:div>
            <w:div w:id="1527913212">
              <w:marLeft w:val="0"/>
              <w:marRight w:val="0"/>
              <w:marTop w:val="0"/>
              <w:marBottom w:val="0"/>
              <w:divBdr>
                <w:top w:val="none" w:sz="0" w:space="0" w:color="auto"/>
                <w:left w:val="none" w:sz="0" w:space="0" w:color="auto"/>
                <w:bottom w:val="none" w:sz="0" w:space="0" w:color="auto"/>
                <w:right w:val="none" w:sz="0" w:space="0" w:color="auto"/>
              </w:divBdr>
            </w:div>
            <w:div w:id="1550066087">
              <w:marLeft w:val="0"/>
              <w:marRight w:val="0"/>
              <w:marTop w:val="0"/>
              <w:marBottom w:val="0"/>
              <w:divBdr>
                <w:top w:val="none" w:sz="0" w:space="0" w:color="auto"/>
                <w:left w:val="none" w:sz="0" w:space="0" w:color="auto"/>
                <w:bottom w:val="none" w:sz="0" w:space="0" w:color="auto"/>
                <w:right w:val="none" w:sz="0" w:space="0" w:color="auto"/>
              </w:divBdr>
            </w:div>
            <w:div w:id="1566645833">
              <w:marLeft w:val="0"/>
              <w:marRight w:val="0"/>
              <w:marTop w:val="0"/>
              <w:marBottom w:val="0"/>
              <w:divBdr>
                <w:top w:val="none" w:sz="0" w:space="0" w:color="auto"/>
                <w:left w:val="none" w:sz="0" w:space="0" w:color="auto"/>
                <w:bottom w:val="none" w:sz="0" w:space="0" w:color="auto"/>
                <w:right w:val="none" w:sz="0" w:space="0" w:color="auto"/>
              </w:divBdr>
            </w:div>
            <w:div w:id="1593472586">
              <w:marLeft w:val="0"/>
              <w:marRight w:val="0"/>
              <w:marTop w:val="0"/>
              <w:marBottom w:val="0"/>
              <w:divBdr>
                <w:top w:val="none" w:sz="0" w:space="0" w:color="auto"/>
                <w:left w:val="none" w:sz="0" w:space="0" w:color="auto"/>
                <w:bottom w:val="none" w:sz="0" w:space="0" w:color="auto"/>
                <w:right w:val="none" w:sz="0" w:space="0" w:color="auto"/>
              </w:divBdr>
            </w:div>
            <w:div w:id="1606182907">
              <w:marLeft w:val="0"/>
              <w:marRight w:val="0"/>
              <w:marTop w:val="0"/>
              <w:marBottom w:val="0"/>
              <w:divBdr>
                <w:top w:val="none" w:sz="0" w:space="0" w:color="auto"/>
                <w:left w:val="none" w:sz="0" w:space="0" w:color="auto"/>
                <w:bottom w:val="none" w:sz="0" w:space="0" w:color="auto"/>
                <w:right w:val="none" w:sz="0" w:space="0" w:color="auto"/>
              </w:divBdr>
            </w:div>
            <w:div w:id="1626354620">
              <w:marLeft w:val="0"/>
              <w:marRight w:val="0"/>
              <w:marTop w:val="0"/>
              <w:marBottom w:val="0"/>
              <w:divBdr>
                <w:top w:val="none" w:sz="0" w:space="0" w:color="auto"/>
                <w:left w:val="none" w:sz="0" w:space="0" w:color="auto"/>
                <w:bottom w:val="none" w:sz="0" w:space="0" w:color="auto"/>
                <w:right w:val="none" w:sz="0" w:space="0" w:color="auto"/>
              </w:divBdr>
            </w:div>
            <w:div w:id="1645962907">
              <w:marLeft w:val="0"/>
              <w:marRight w:val="0"/>
              <w:marTop w:val="0"/>
              <w:marBottom w:val="0"/>
              <w:divBdr>
                <w:top w:val="none" w:sz="0" w:space="0" w:color="auto"/>
                <w:left w:val="none" w:sz="0" w:space="0" w:color="auto"/>
                <w:bottom w:val="none" w:sz="0" w:space="0" w:color="auto"/>
                <w:right w:val="none" w:sz="0" w:space="0" w:color="auto"/>
              </w:divBdr>
            </w:div>
            <w:div w:id="1671566968">
              <w:marLeft w:val="0"/>
              <w:marRight w:val="0"/>
              <w:marTop w:val="0"/>
              <w:marBottom w:val="0"/>
              <w:divBdr>
                <w:top w:val="none" w:sz="0" w:space="0" w:color="auto"/>
                <w:left w:val="none" w:sz="0" w:space="0" w:color="auto"/>
                <w:bottom w:val="none" w:sz="0" w:space="0" w:color="auto"/>
                <w:right w:val="none" w:sz="0" w:space="0" w:color="auto"/>
              </w:divBdr>
            </w:div>
            <w:div w:id="1680892823">
              <w:marLeft w:val="0"/>
              <w:marRight w:val="0"/>
              <w:marTop w:val="0"/>
              <w:marBottom w:val="0"/>
              <w:divBdr>
                <w:top w:val="none" w:sz="0" w:space="0" w:color="auto"/>
                <w:left w:val="none" w:sz="0" w:space="0" w:color="auto"/>
                <w:bottom w:val="none" w:sz="0" w:space="0" w:color="auto"/>
                <w:right w:val="none" w:sz="0" w:space="0" w:color="auto"/>
              </w:divBdr>
            </w:div>
            <w:div w:id="1709064995">
              <w:marLeft w:val="0"/>
              <w:marRight w:val="0"/>
              <w:marTop w:val="0"/>
              <w:marBottom w:val="0"/>
              <w:divBdr>
                <w:top w:val="none" w:sz="0" w:space="0" w:color="auto"/>
                <w:left w:val="none" w:sz="0" w:space="0" w:color="auto"/>
                <w:bottom w:val="none" w:sz="0" w:space="0" w:color="auto"/>
                <w:right w:val="none" w:sz="0" w:space="0" w:color="auto"/>
              </w:divBdr>
            </w:div>
            <w:div w:id="1710688148">
              <w:marLeft w:val="0"/>
              <w:marRight w:val="0"/>
              <w:marTop w:val="0"/>
              <w:marBottom w:val="0"/>
              <w:divBdr>
                <w:top w:val="none" w:sz="0" w:space="0" w:color="auto"/>
                <w:left w:val="none" w:sz="0" w:space="0" w:color="auto"/>
                <w:bottom w:val="none" w:sz="0" w:space="0" w:color="auto"/>
                <w:right w:val="none" w:sz="0" w:space="0" w:color="auto"/>
              </w:divBdr>
            </w:div>
            <w:div w:id="1711228449">
              <w:marLeft w:val="0"/>
              <w:marRight w:val="0"/>
              <w:marTop w:val="0"/>
              <w:marBottom w:val="0"/>
              <w:divBdr>
                <w:top w:val="none" w:sz="0" w:space="0" w:color="auto"/>
                <w:left w:val="none" w:sz="0" w:space="0" w:color="auto"/>
                <w:bottom w:val="none" w:sz="0" w:space="0" w:color="auto"/>
                <w:right w:val="none" w:sz="0" w:space="0" w:color="auto"/>
              </w:divBdr>
            </w:div>
            <w:div w:id="1798451599">
              <w:marLeft w:val="0"/>
              <w:marRight w:val="0"/>
              <w:marTop w:val="0"/>
              <w:marBottom w:val="0"/>
              <w:divBdr>
                <w:top w:val="none" w:sz="0" w:space="0" w:color="auto"/>
                <w:left w:val="none" w:sz="0" w:space="0" w:color="auto"/>
                <w:bottom w:val="none" w:sz="0" w:space="0" w:color="auto"/>
                <w:right w:val="none" w:sz="0" w:space="0" w:color="auto"/>
              </w:divBdr>
            </w:div>
            <w:div w:id="1808088599">
              <w:marLeft w:val="0"/>
              <w:marRight w:val="0"/>
              <w:marTop w:val="0"/>
              <w:marBottom w:val="0"/>
              <w:divBdr>
                <w:top w:val="none" w:sz="0" w:space="0" w:color="auto"/>
                <w:left w:val="none" w:sz="0" w:space="0" w:color="auto"/>
                <w:bottom w:val="none" w:sz="0" w:space="0" w:color="auto"/>
                <w:right w:val="none" w:sz="0" w:space="0" w:color="auto"/>
              </w:divBdr>
            </w:div>
            <w:div w:id="1811512721">
              <w:marLeft w:val="0"/>
              <w:marRight w:val="0"/>
              <w:marTop w:val="0"/>
              <w:marBottom w:val="0"/>
              <w:divBdr>
                <w:top w:val="none" w:sz="0" w:space="0" w:color="auto"/>
                <w:left w:val="none" w:sz="0" w:space="0" w:color="auto"/>
                <w:bottom w:val="none" w:sz="0" w:space="0" w:color="auto"/>
                <w:right w:val="none" w:sz="0" w:space="0" w:color="auto"/>
              </w:divBdr>
            </w:div>
            <w:div w:id="1814173300">
              <w:marLeft w:val="0"/>
              <w:marRight w:val="0"/>
              <w:marTop w:val="0"/>
              <w:marBottom w:val="0"/>
              <w:divBdr>
                <w:top w:val="none" w:sz="0" w:space="0" w:color="auto"/>
                <w:left w:val="none" w:sz="0" w:space="0" w:color="auto"/>
                <w:bottom w:val="none" w:sz="0" w:space="0" w:color="auto"/>
                <w:right w:val="none" w:sz="0" w:space="0" w:color="auto"/>
              </w:divBdr>
            </w:div>
            <w:div w:id="1825970515">
              <w:marLeft w:val="0"/>
              <w:marRight w:val="0"/>
              <w:marTop w:val="0"/>
              <w:marBottom w:val="0"/>
              <w:divBdr>
                <w:top w:val="none" w:sz="0" w:space="0" w:color="auto"/>
                <w:left w:val="none" w:sz="0" w:space="0" w:color="auto"/>
                <w:bottom w:val="none" w:sz="0" w:space="0" w:color="auto"/>
                <w:right w:val="none" w:sz="0" w:space="0" w:color="auto"/>
              </w:divBdr>
            </w:div>
            <w:div w:id="1834295917">
              <w:marLeft w:val="0"/>
              <w:marRight w:val="0"/>
              <w:marTop w:val="0"/>
              <w:marBottom w:val="0"/>
              <w:divBdr>
                <w:top w:val="none" w:sz="0" w:space="0" w:color="auto"/>
                <w:left w:val="none" w:sz="0" w:space="0" w:color="auto"/>
                <w:bottom w:val="none" w:sz="0" w:space="0" w:color="auto"/>
                <w:right w:val="none" w:sz="0" w:space="0" w:color="auto"/>
              </w:divBdr>
            </w:div>
            <w:div w:id="1843858157">
              <w:marLeft w:val="0"/>
              <w:marRight w:val="0"/>
              <w:marTop w:val="0"/>
              <w:marBottom w:val="0"/>
              <w:divBdr>
                <w:top w:val="none" w:sz="0" w:space="0" w:color="auto"/>
                <w:left w:val="none" w:sz="0" w:space="0" w:color="auto"/>
                <w:bottom w:val="none" w:sz="0" w:space="0" w:color="auto"/>
                <w:right w:val="none" w:sz="0" w:space="0" w:color="auto"/>
              </w:divBdr>
            </w:div>
            <w:div w:id="1873225312">
              <w:marLeft w:val="0"/>
              <w:marRight w:val="0"/>
              <w:marTop w:val="0"/>
              <w:marBottom w:val="0"/>
              <w:divBdr>
                <w:top w:val="none" w:sz="0" w:space="0" w:color="auto"/>
                <w:left w:val="none" w:sz="0" w:space="0" w:color="auto"/>
                <w:bottom w:val="none" w:sz="0" w:space="0" w:color="auto"/>
                <w:right w:val="none" w:sz="0" w:space="0" w:color="auto"/>
              </w:divBdr>
            </w:div>
            <w:div w:id="1876231565">
              <w:marLeft w:val="0"/>
              <w:marRight w:val="0"/>
              <w:marTop w:val="0"/>
              <w:marBottom w:val="0"/>
              <w:divBdr>
                <w:top w:val="none" w:sz="0" w:space="0" w:color="auto"/>
                <w:left w:val="none" w:sz="0" w:space="0" w:color="auto"/>
                <w:bottom w:val="none" w:sz="0" w:space="0" w:color="auto"/>
                <w:right w:val="none" w:sz="0" w:space="0" w:color="auto"/>
              </w:divBdr>
            </w:div>
            <w:div w:id="1893074735">
              <w:marLeft w:val="0"/>
              <w:marRight w:val="0"/>
              <w:marTop w:val="0"/>
              <w:marBottom w:val="0"/>
              <w:divBdr>
                <w:top w:val="none" w:sz="0" w:space="0" w:color="auto"/>
                <w:left w:val="none" w:sz="0" w:space="0" w:color="auto"/>
                <w:bottom w:val="none" w:sz="0" w:space="0" w:color="auto"/>
                <w:right w:val="none" w:sz="0" w:space="0" w:color="auto"/>
              </w:divBdr>
            </w:div>
            <w:div w:id="1909610532">
              <w:marLeft w:val="0"/>
              <w:marRight w:val="0"/>
              <w:marTop w:val="0"/>
              <w:marBottom w:val="0"/>
              <w:divBdr>
                <w:top w:val="none" w:sz="0" w:space="0" w:color="auto"/>
                <w:left w:val="none" w:sz="0" w:space="0" w:color="auto"/>
                <w:bottom w:val="none" w:sz="0" w:space="0" w:color="auto"/>
                <w:right w:val="none" w:sz="0" w:space="0" w:color="auto"/>
              </w:divBdr>
            </w:div>
            <w:div w:id="1919946795">
              <w:marLeft w:val="0"/>
              <w:marRight w:val="0"/>
              <w:marTop w:val="0"/>
              <w:marBottom w:val="0"/>
              <w:divBdr>
                <w:top w:val="none" w:sz="0" w:space="0" w:color="auto"/>
                <w:left w:val="none" w:sz="0" w:space="0" w:color="auto"/>
                <w:bottom w:val="none" w:sz="0" w:space="0" w:color="auto"/>
                <w:right w:val="none" w:sz="0" w:space="0" w:color="auto"/>
              </w:divBdr>
            </w:div>
            <w:div w:id="1920554373">
              <w:marLeft w:val="0"/>
              <w:marRight w:val="0"/>
              <w:marTop w:val="0"/>
              <w:marBottom w:val="0"/>
              <w:divBdr>
                <w:top w:val="none" w:sz="0" w:space="0" w:color="auto"/>
                <w:left w:val="none" w:sz="0" w:space="0" w:color="auto"/>
                <w:bottom w:val="none" w:sz="0" w:space="0" w:color="auto"/>
                <w:right w:val="none" w:sz="0" w:space="0" w:color="auto"/>
              </w:divBdr>
            </w:div>
            <w:div w:id="1934387440">
              <w:marLeft w:val="0"/>
              <w:marRight w:val="0"/>
              <w:marTop w:val="0"/>
              <w:marBottom w:val="0"/>
              <w:divBdr>
                <w:top w:val="none" w:sz="0" w:space="0" w:color="auto"/>
                <w:left w:val="none" w:sz="0" w:space="0" w:color="auto"/>
                <w:bottom w:val="none" w:sz="0" w:space="0" w:color="auto"/>
                <w:right w:val="none" w:sz="0" w:space="0" w:color="auto"/>
              </w:divBdr>
            </w:div>
            <w:div w:id="1976980878">
              <w:marLeft w:val="0"/>
              <w:marRight w:val="0"/>
              <w:marTop w:val="0"/>
              <w:marBottom w:val="0"/>
              <w:divBdr>
                <w:top w:val="none" w:sz="0" w:space="0" w:color="auto"/>
                <w:left w:val="none" w:sz="0" w:space="0" w:color="auto"/>
                <w:bottom w:val="none" w:sz="0" w:space="0" w:color="auto"/>
                <w:right w:val="none" w:sz="0" w:space="0" w:color="auto"/>
              </w:divBdr>
            </w:div>
            <w:div w:id="2000882183">
              <w:marLeft w:val="0"/>
              <w:marRight w:val="0"/>
              <w:marTop w:val="0"/>
              <w:marBottom w:val="0"/>
              <w:divBdr>
                <w:top w:val="none" w:sz="0" w:space="0" w:color="auto"/>
                <w:left w:val="none" w:sz="0" w:space="0" w:color="auto"/>
                <w:bottom w:val="none" w:sz="0" w:space="0" w:color="auto"/>
                <w:right w:val="none" w:sz="0" w:space="0" w:color="auto"/>
              </w:divBdr>
            </w:div>
            <w:div w:id="2050178653">
              <w:marLeft w:val="0"/>
              <w:marRight w:val="0"/>
              <w:marTop w:val="0"/>
              <w:marBottom w:val="0"/>
              <w:divBdr>
                <w:top w:val="none" w:sz="0" w:space="0" w:color="auto"/>
                <w:left w:val="none" w:sz="0" w:space="0" w:color="auto"/>
                <w:bottom w:val="none" w:sz="0" w:space="0" w:color="auto"/>
                <w:right w:val="none" w:sz="0" w:space="0" w:color="auto"/>
              </w:divBdr>
            </w:div>
            <w:div w:id="2055346825">
              <w:marLeft w:val="0"/>
              <w:marRight w:val="0"/>
              <w:marTop w:val="0"/>
              <w:marBottom w:val="0"/>
              <w:divBdr>
                <w:top w:val="none" w:sz="0" w:space="0" w:color="auto"/>
                <w:left w:val="none" w:sz="0" w:space="0" w:color="auto"/>
                <w:bottom w:val="none" w:sz="0" w:space="0" w:color="auto"/>
                <w:right w:val="none" w:sz="0" w:space="0" w:color="auto"/>
              </w:divBdr>
            </w:div>
            <w:div w:id="2069262016">
              <w:marLeft w:val="0"/>
              <w:marRight w:val="0"/>
              <w:marTop w:val="0"/>
              <w:marBottom w:val="0"/>
              <w:divBdr>
                <w:top w:val="none" w:sz="0" w:space="0" w:color="auto"/>
                <w:left w:val="none" w:sz="0" w:space="0" w:color="auto"/>
                <w:bottom w:val="none" w:sz="0" w:space="0" w:color="auto"/>
                <w:right w:val="none" w:sz="0" w:space="0" w:color="auto"/>
              </w:divBdr>
            </w:div>
            <w:div w:id="2105565519">
              <w:marLeft w:val="0"/>
              <w:marRight w:val="0"/>
              <w:marTop w:val="0"/>
              <w:marBottom w:val="0"/>
              <w:divBdr>
                <w:top w:val="none" w:sz="0" w:space="0" w:color="auto"/>
                <w:left w:val="none" w:sz="0" w:space="0" w:color="auto"/>
                <w:bottom w:val="none" w:sz="0" w:space="0" w:color="auto"/>
                <w:right w:val="none" w:sz="0" w:space="0" w:color="auto"/>
              </w:divBdr>
            </w:div>
            <w:div w:id="21234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s.ligazakon.net/l_flib1.nsf/LookupFiles/TSIGN.GIF/$file/TSIGN.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nechyporuk</dc:creator>
  <cp:keywords/>
  <dc:description/>
  <cp:lastModifiedBy>Руслан Кисляк</cp:lastModifiedBy>
  <cp:revision>3</cp:revision>
  <dcterms:created xsi:type="dcterms:W3CDTF">2019-03-27T11:58:00Z</dcterms:created>
  <dcterms:modified xsi:type="dcterms:W3CDTF">2019-03-27T12:08:00Z</dcterms:modified>
</cp:coreProperties>
</file>