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25" w:rsidRPr="00A14125" w:rsidRDefault="00A14125" w:rsidP="001E1578">
      <w:pPr>
        <w:shd w:val="clear" w:color="auto" w:fill="FFFFFF"/>
        <w:spacing w:before="100" w:beforeAutospacing="1" w:after="100" w:afterAutospacing="1"/>
        <w:jc w:val="center"/>
        <w:rPr>
          <w:spacing w:val="0"/>
          <w:sz w:val="24"/>
          <w:szCs w:val="24"/>
        </w:rPr>
      </w:pPr>
      <w:r w:rsidRPr="00A14125">
        <w:rPr>
          <w:spacing w:val="0"/>
          <w:sz w:val="24"/>
          <w:szCs w:val="24"/>
        </w:rPr>
        <w:fldChar w:fldCharType="begin"/>
      </w:r>
      <w:r w:rsidRPr="00A14125">
        <w:rPr>
          <w:spacing w:val="0"/>
          <w:sz w:val="24"/>
          <w:szCs w:val="24"/>
        </w:rPr>
        <w:instrText xml:space="preserve"> INCLUDEPICTURE "https://ips.ligazakon.net/l_flib1.nsf/LookupFiles/TSIGN.GIF/$file/TSIGN.GIF" \* MERGEFORMATINET </w:instrText>
      </w:r>
      <w:r w:rsidRPr="00A14125">
        <w:rPr>
          <w:spacing w:val="0"/>
          <w:sz w:val="24"/>
          <w:szCs w:val="24"/>
        </w:rPr>
        <w:fldChar w:fldCharType="separate"/>
      </w:r>
      <w:r w:rsidR="001E1578">
        <w:rPr>
          <w:spacing w:val="0"/>
          <w:sz w:val="24"/>
          <w:szCs w:val="24"/>
        </w:rPr>
        <w:fldChar w:fldCharType="begin"/>
      </w:r>
      <w:r w:rsidR="001E1578">
        <w:rPr>
          <w:spacing w:val="0"/>
          <w:sz w:val="24"/>
          <w:szCs w:val="24"/>
        </w:rPr>
        <w:instrText xml:space="preserve"> </w:instrText>
      </w:r>
      <w:r w:rsidR="001E1578">
        <w:rPr>
          <w:spacing w:val="0"/>
          <w:sz w:val="24"/>
          <w:szCs w:val="24"/>
        </w:rPr>
        <w:instrText>INCLUDEPICTURE  "https://ips.ligazakon.net/l_flib1.nsf/LookupFiles/TSIGN.GIF/$file/TSIGN.GIF" \* MERGEFORMATINET</w:instrText>
      </w:r>
      <w:r w:rsidR="001E1578">
        <w:rPr>
          <w:spacing w:val="0"/>
          <w:sz w:val="24"/>
          <w:szCs w:val="24"/>
        </w:rPr>
        <w:instrText xml:space="preserve"> </w:instrText>
      </w:r>
      <w:r w:rsidR="001E1578">
        <w:rPr>
          <w:spacing w:val="0"/>
          <w:sz w:val="24"/>
          <w:szCs w:val="24"/>
        </w:rPr>
        <w:fldChar w:fldCharType="separate"/>
      </w:r>
      <w:r w:rsidR="001E1578">
        <w:rPr>
          <w:spacing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pt;height:66pt;mso-wrap-distance-left:3.75pt;mso-wrap-distance-right:3.75pt">
            <v:imagedata r:id="rId4" r:href="rId5"/>
          </v:shape>
        </w:pict>
      </w:r>
      <w:r w:rsidR="001E1578">
        <w:rPr>
          <w:spacing w:val="0"/>
          <w:sz w:val="24"/>
          <w:szCs w:val="24"/>
        </w:rPr>
        <w:fldChar w:fldCharType="end"/>
      </w:r>
      <w:r w:rsidRPr="00A14125">
        <w:rPr>
          <w:spacing w:val="0"/>
          <w:sz w:val="24"/>
          <w:szCs w:val="24"/>
        </w:rPr>
        <w:fldChar w:fldCharType="end"/>
      </w:r>
    </w:p>
    <w:p w:rsidR="00A14125" w:rsidRPr="00A14125" w:rsidRDefault="00A14125" w:rsidP="001E1578">
      <w:pPr>
        <w:shd w:val="clear" w:color="auto" w:fill="FFFFFF"/>
        <w:spacing w:before="100" w:beforeAutospacing="1" w:after="100" w:afterAutospacing="1"/>
        <w:jc w:val="center"/>
        <w:outlineLvl w:val="1"/>
        <w:rPr>
          <w:b/>
          <w:bCs/>
          <w:spacing w:val="0"/>
          <w:sz w:val="36"/>
          <w:szCs w:val="36"/>
        </w:rPr>
      </w:pPr>
      <w:r w:rsidRPr="00A14125">
        <w:rPr>
          <w:b/>
          <w:bCs/>
          <w:spacing w:val="0"/>
          <w:sz w:val="36"/>
          <w:szCs w:val="36"/>
        </w:rPr>
        <w:t xml:space="preserve">НАЦІОНАЛЬНА КОМІСІЯ З ЦІННИХ ПАПЕРІВ ТА </w:t>
      </w:r>
      <w:bookmarkStart w:id="0" w:name="_GoBack"/>
      <w:bookmarkEnd w:id="0"/>
      <w:r w:rsidRPr="00A14125">
        <w:rPr>
          <w:b/>
          <w:bCs/>
          <w:spacing w:val="0"/>
          <w:sz w:val="36"/>
          <w:szCs w:val="36"/>
        </w:rPr>
        <w:t>ФОНДОВОГО РИНКУ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w:t>
      </w:r>
    </w:p>
    <w:p w:rsidR="00A14125" w:rsidRPr="00A14125" w:rsidRDefault="00A14125" w:rsidP="001E1578">
      <w:pPr>
        <w:shd w:val="clear" w:color="auto" w:fill="FFFFFF"/>
        <w:spacing w:before="100" w:beforeAutospacing="1" w:after="100" w:afterAutospacing="1"/>
        <w:jc w:val="right"/>
        <w:rPr>
          <w:spacing w:val="0"/>
          <w:sz w:val="24"/>
          <w:szCs w:val="24"/>
        </w:rPr>
      </w:pPr>
      <w:r w:rsidRPr="00A14125">
        <w:rPr>
          <w:spacing w:val="0"/>
          <w:sz w:val="24"/>
          <w:szCs w:val="24"/>
        </w:rPr>
        <w:t>ЗАТВЕРДЖЕНО</w:t>
      </w:r>
      <w:r w:rsidRPr="00A14125">
        <w:rPr>
          <w:spacing w:val="0"/>
          <w:sz w:val="24"/>
          <w:szCs w:val="24"/>
        </w:rPr>
        <w:br/>
        <w:t>Рішення Національної комісії з цінних паперів та фондового ринку</w:t>
      </w:r>
      <w:r w:rsidRPr="00A14125">
        <w:rPr>
          <w:spacing w:val="0"/>
          <w:sz w:val="24"/>
          <w:szCs w:val="24"/>
        </w:rPr>
        <w:br/>
        <w:t>10.09.2013 N 1753</w:t>
      </w:r>
    </w:p>
    <w:p w:rsidR="00A14125" w:rsidRPr="00A14125" w:rsidRDefault="00A14125" w:rsidP="001E1578">
      <w:pPr>
        <w:shd w:val="clear" w:color="auto" w:fill="FFFFFF"/>
        <w:spacing w:before="100" w:beforeAutospacing="1" w:after="100" w:afterAutospacing="1"/>
        <w:jc w:val="right"/>
        <w:rPr>
          <w:spacing w:val="0"/>
          <w:sz w:val="24"/>
          <w:szCs w:val="24"/>
        </w:rPr>
      </w:pPr>
      <w:r w:rsidRPr="00A14125">
        <w:rPr>
          <w:spacing w:val="0"/>
          <w:sz w:val="24"/>
          <w:szCs w:val="24"/>
        </w:rPr>
        <w:t>Зареєстровано</w:t>
      </w:r>
      <w:r w:rsidRPr="00A14125">
        <w:rPr>
          <w:spacing w:val="0"/>
          <w:sz w:val="24"/>
          <w:szCs w:val="24"/>
        </w:rPr>
        <w:br/>
        <w:t>в Міністерстві юстиції України</w:t>
      </w:r>
      <w:r w:rsidRPr="00A14125">
        <w:rPr>
          <w:spacing w:val="0"/>
          <w:sz w:val="24"/>
          <w:szCs w:val="24"/>
        </w:rPr>
        <w:br/>
        <w:t>01 жовтня 2013 р. за N 1689/24221</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Положення про склад та структуру активів інституту спільного інвестування</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I. Загальні положення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1. Це Положення розроблене відповідно до </w:t>
      </w:r>
      <w:r w:rsidRPr="00A14125">
        <w:rPr>
          <w:color w:val="000000"/>
          <w:spacing w:val="0"/>
          <w:sz w:val="24"/>
          <w:szCs w:val="24"/>
        </w:rPr>
        <w:t>Законів України "Про інститути спільного інвестування"</w:t>
      </w:r>
      <w:r w:rsidRPr="00A14125">
        <w:rPr>
          <w:spacing w:val="0"/>
          <w:sz w:val="24"/>
          <w:szCs w:val="24"/>
        </w:rPr>
        <w:t xml:space="preserve">, </w:t>
      </w:r>
      <w:r w:rsidRPr="00A14125">
        <w:rPr>
          <w:color w:val="000000"/>
          <w:spacing w:val="0"/>
          <w:sz w:val="24"/>
          <w:szCs w:val="24"/>
        </w:rPr>
        <w:t>"Про державне регулювання ринку цінних паперів в Україні"</w:t>
      </w:r>
      <w:r w:rsidRPr="00A14125">
        <w:rPr>
          <w:spacing w:val="0"/>
          <w:sz w:val="24"/>
          <w:szCs w:val="24"/>
        </w:rPr>
        <w:t xml:space="preserve"> та установлює вимоги щодо складу та структури активів інституту спільного інвестування (далі - ІСІ) з метою ефективного розміщення фінансових ресурсів інвесторів.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2. Склад та структура активів ІСІ визначаються регламентом ІСІ відповідно до вимог </w:t>
      </w:r>
      <w:r w:rsidRPr="00A14125">
        <w:rPr>
          <w:color w:val="000000"/>
          <w:spacing w:val="0"/>
          <w:sz w:val="24"/>
          <w:szCs w:val="24"/>
        </w:rPr>
        <w:t>Закону України "Про інститути спільного інвестування"</w:t>
      </w:r>
      <w:r w:rsidRPr="00A14125">
        <w:rPr>
          <w:spacing w:val="0"/>
          <w:sz w:val="24"/>
          <w:szCs w:val="24"/>
        </w:rPr>
        <w:t xml:space="preserve"> (далі - Закон), цього Положення та інших законів України.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3. Вимоги щодо структури активів ІСІ, встановлені </w:t>
      </w:r>
      <w:r w:rsidRPr="00A14125">
        <w:rPr>
          <w:color w:val="000000"/>
          <w:spacing w:val="0"/>
          <w:sz w:val="24"/>
          <w:szCs w:val="24"/>
        </w:rPr>
        <w:t>Законом</w:t>
      </w:r>
      <w:r w:rsidRPr="00A14125">
        <w:rPr>
          <w:spacing w:val="0"/>
          <w:sz w:val="24"/>
          <w:szCs w:val="24"/>
        </w:rPr>
        <w:t xml:space="preserve"> та цим Положенням, застосовуються до пайового інвестиційного фонду (далі - пайовий фонд) через шість місяців з дня реєстрації проспекту емісії інвестиційних сертифікатів такого фонду Національною комісією з цінних паперів та фондового ринку (далі - Комісія).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4. Вимоги щодо структури активів ІСІ, встановлені </w:t>
      </w:r>
      <w:r w:rsidRPr="00A14125">
        <w:rPr>
          <w:color w:val="000000"/>
          <w:spacing w:val="0"/>
          <w:sz w:val="24"/>
          <w:szCs w:val="24"/>
        </w:rPr>
        <w:t>Законом</w:t>
      </w:r>
      <w:r w:rsidRPr="00A14125">
        <w:rPr>
          <w:spacing w:val="0"/>
          <w:sz w:val="24"/>
          <w:szCs w:val="24"/>
        </w:rPr>
        <w:t xml:space="preserve"> та цим Положенням, застосовуються до корпоративного інвестиційного фонду (далі - корпоративний фонд) через шість місяців з дня реєстрації регламенту такого фонду Комісією.</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5. Вимоги до структури активів ІСІ, встановлені </w:t>
      </w:r>
      <w:r w:rsidRPr="00A14125">
        <w:rPr>
          <w:color w:val="000000"/>
          <w:spacing w:val="0"/>
          <w:sz w:val="24"/>
          <w:szCs w:val="24"/>
        </w:rPr>
        <w:t>Законом</w:t>
      </w:r>
      <w:r w:rsidRPr="00A14125">
        <w:rPr>
          <w:spacing w:val="0"/>
          <w:sz w:val="24"/>
          <w:szCs w:val="24"/>
        </w:rPr>
        <w:t xml:space="preserve"> та цим Положенням, не застосовуються до кваліфікаційного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6. З дати прийняття рішення про ліквідацію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до такого ІСІ не застосовуються вимоги щодо структури активів ІСІ, передбачені </w:t>
      </w:r>
      <w:r w:rsidRPr="00A14125">
        <w:rPr>
          <w:color w:val="000000"/>
          <w:spacing w:val="0"/>
          <w:sz w:val="24"/>
          <w:szCs w:val="24"/>
        </w:rPr>
        <w:t>Законом</w:t>
      </w:r>
      <w:r w:rsidRPr="00A14125">
        <w:rPr>
          <w:spacing w:val="0"/>
          <w:sz w:val="24"/>
          <w:szCs w:val="24"/>
        </w:rPr>
        <w:t xml:space="preserve"> та цим Положенням.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(розділ І доповнено новим пунктом 6 згідно з рішенням Національної</w:t>
      </w:r>
      <w:r w:rsidRPr="00A14125">
        <w:rPr>
          <w:spacing w:val="0"/>
          <w:sz w:val="24"/>
          <w:szCs w:val="24"/>
        </w:rPr>
        <w:br/>
        <w:t> комісії з цінних паперів та фондового ринку від 17.12.2015 р. N 2132,</w:t>
      </w:r>
      <w:r w:rsidRPr="00A14125">
        <w:rPr>
          <w:spacing w:val="0"/>
          <w:sz w:val="24"/>
          <w:szCs w:val="24"/>
        </w:rPr>
        <w:br/>
        <w:t> у зв'язку з цим пункт 6 вважати пунктом 7)</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7. Пункт 7 розділу I виключено</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(розділ І доповнено пунктом 7 згідно з рішенням Національної</w:t>
      </w:r>
      <w:r w:rsidRPr="00A14125">
        <w:rPr>
          <w:spacing w:val="0"/>
          <w:sz w:val="24"/>
          <w:szCs w:val="24"/>
        </w:rPr>
        <w:br/>
        <w:t> комісії з цінних паперів та фондового ринку від 16.12.2014 р. N 1712,</w:t>
      </w:r>
      <w:r w:rsidRPr="00A14125">
        <w:rPr>
          <w:spacing w:val="0"/>
          <w:sz w:val="24"/>
          <w:szCs w:val="24"/>
        </w:rPr>
        <w:br/>
        <w:t>пункт 7 розділу I виключено згідно з рішенням Національної</w:t>
      </w:r>
      <w:r w:rsidRPr="00A14125">
        <w:rPr>
          <w:spacing w:val="0"/>
          <w:sz w:val="24"/>
          <w:szCs w:val="24"/>
        </w:rPr>
        <w:br/>
        <w:t> комісії з цінних паперів та фондового ринку від 27.12.2018 р. N 910)</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II. Загальні вимоги щодо складу та структури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1. Активи ІСІ складаються з грошових коштів, у тому числі в іноземній валюті, на поточних та депозитних рахунках, відкритих у банківських установах, банківських металів, об'єктів нерухомості, цінних паперів, визначених </w:t>
      </w:r>
      <w:r w:rsidRPr="00A14125">
        <w:rPr>
          <w:color w:val="000000"/>
          <w:spacing w:val="0"/>
          <w:sz w:val="24"/>
          <w:szCs w:val="24"/>
        </w:rPr>
        <w:t>Законом України "Про цінні папери та фондовий ринок"</w:t>
      </w:r>
      <w:r w:rsidRPr="00A14125">
        <w:rPr>
          <w:spacing w:val="0"/>
          <w:sz w:val="24"/>
          <w:szCs w:val="24"/>
        </w:rPr>
        <w:t xml:space="preserve">, цінних паперів іноземних держав та інших іноземних емітентів, корпоративних прав, виражених в інших, ніж цінні папери, формах, майнових прав і вимог, а також інших активів, дозволених законодавством України, з урахуванням обмежень, установлених </w:t>
      </w:r>
      <w:r w:rsidRPr="00A14125">
        <w:rPr>
          <w:color w:val="000000"/>
          <w:spacing w:val="0"/>
          <w:sz w:val="24"/>
          <w:szCs w:val="24"/>
        </w:rPr>
        <w:t>Законом</w:t>
      </w:r>
      <w:r w:rsidRPr="00A14125">
        <w:rPr>
          <w:spacing w:val="0"/>
          <w:sz w:val="24"/>
          <w:szCs w:val="24"/>
        </w:rPr>
        <w:t xml:space="preserve"> безпосередньо для конкретних типів та видів інвестиційних фондів.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Зазначені активи формуються (оплачуються) за рахунок коштів спільного інвестування.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Активи ІСІ не можуть включати: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цінні папери, випущені компанією з управління активами, зберігачем активів ІСІ, Центральним депозитарієм цінних паперів, оцінювачем майна ІСІ та аудитором (аудиторською фірмою) такого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цінні папери, випущені пов'язаними особами компанії з управління активами, зберігача активів ІСІ, Центрального депозитарію цінних паперів, оцінювача майна ІСІ та аудитора (аудиторської фірми) такого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цінні папери іноземних держав та іноземних юридичних осіб, не допущені до торгів на жодній з провідних іноземних бірж, перелік яких визначається Комісією;</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цінні папери інших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5) облігації підприємств, іпотечні облігації та облігації місцевих позик,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 на суму більш як 20 відсотків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6) кошти і банківські метали, розміщені на поточних і депозитних рахунках у банках, кредитний рейтинг яких не відповідає інвестиційному рівню, визначеному уповноваженим або визнаним міжнародним рейтинговим агентством за Національною рейтинговою шкалою, на суму більш як 20 відсотків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7) векселі та ощадні (депозитні) сертифікати на суму більш як 10 відсотків вартості активів ІСІ, якщо інше не встановлено нормативно-правовими актами Комісії;</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8) товаророзпорядчі цінні папери, заставні;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9) сертифікати фондів операцій з нерухомістю (сертифікати ФОН);</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10) приватизаційні цінні папери;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11) договори про участь у фонді фінансування будівництва (ФФБ).</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Вимоги підпунктів 2, 3, 5 - 9 цього пункту не застосовуються до венчурних фондів.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До складу активів ІСІ не можуть входити цінні папери українських емітентів: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у яких відсутній міжнародний ідентифікаційний номер цінних паперів у разі, якщо його наявність передбачена чинним законодавством;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якщо Комісією оприлюднена інформація, що емітенти цих цінних паперів: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протягом останніх двох років поспіль не розкривають регулярну річну інформацію;</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перебувають у переліку підприємств, які відсутні за місцезнаходженням;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є збитковими протягом останніх двох років поспіль і при цьому їхні цінні папери не допущені до торгів на фондових біржах (для ІСІ диверсифікованого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Інформація про емітентів цінних паперів, зазначена у підпункті 2 цього пункту, оприлюднюється на сайті Комісії та/або в офіційному друкованому виданні Комісії.</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У разі якщо цінні папери українських емітентів, зазначених у цьому пункті, перебувають у складі активів ІСІ на дату оприлюднення такої інформації, компанія з управління активами зобов'язана привести актив ІСІ у відповідність до вимог цього пункту протягом 30 робочих днів з дати оприлюднення такої інформації.</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До складу активів ІСІ може входити іноземна валюта, у тому числі та, що придбана через банки, які мають відповідну ліцензію.</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Обмеження щодо зобов'язань одного банку в активах ІСІ не застосовуються до коштів на поточних рахунках, відкритих у зберігача активів такого ІСІ.</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III. Вимоги щодо складу та структури активів диверсифікованого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Активи диверсифікованого ІСІ складаються з цінних паперів, грошових коштів, у тому числі в іноземній валюті, на поточних та депозитних рахунках, відкритих у банківських установах, банківських металів, нерухомості та інших активів, дозволених законодавством.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Структура активів диверсифікованого ІСІ має відповідати одночасно таким вимогам: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сумарна вартість цінних паперів одного емітента в активах ІСІ не перевищує 10 відсотків загального обсягу цінних паперів відповідного випуску цінних паперів такого емітента;</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сумарна вартість цінних паперів, які становлять активи ІСІ в обсязі, що перевищує 5 відсотків загального обсягу випуску цінних паперів, на момент їх придбання не перевищує 40 відсотків вартості чистих активів;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не менш як 70 відсотків загальної вартості активів диверсифікованого ІСІ повинні становити: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(абзац перший підпункту 3 пункту 2 розділу III із змінами, внесеними</w:t>
      </w:r>
      <w:r w:rsidRPr="00A14125">
        <w:rPr>
          <w:spacing w:val="0"/>
          <w:sz w:val="24"/>
          <w:szCs w:val="24"/>
        </w:rPr>
        <w:br/>
        <w:t>згідно з рішенням Національної комісії з цінних паперів та фондового ринку</w:t>
      </w:r>
      <w:r w:rsidRPr="00A14125">
        <w:rPr>
          <w:spacing w:val="0"/>
          <w:sz w:val="24"/>
          <w:szCs w:val="24"/>
        </w:rPr>
        <w:br/>
        <w:t> від 24.04.2018 р. N 247)</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кошти, у тому числі на банківських депозитних рахунках;</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банківські метали;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ощадні (депозитні) сертифікати;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облігації підприємств;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облігації місцевих позик;</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державні цінні папери;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цінні папери, що допущені до торгів на фондовій біржі.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ІСІ диверсифікованого виду забороняється: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розміщувати в цінні папери банків та банківські метали більше ніж 20 відсотків загальної вартості активів ІСІ. При цьому забороняється інвестувати понад 10 відсотків загальної вартості активів ІСІ в цінні папери та зобов'язання одного банку;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придбавати або додатково інвестувати в цінні папери та зобов'язання однієї юридичної особи (крім банку) більше ніж 5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придбавати або додатково інвестувати у державні цінні папери, цінні папери, забезпечені державною гарантією, більше ніж 50 відсотків загальної вартості активів ІСІ. При цьому забороняється інвестувати понад 10 відсотків загальної вартості активів ІСІ у цінні папери одного випуску;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придбавати або додатково інвестувати в цінні папери органів місцевого самоврядування більше ніж 40 відсотків загальної вартості активів ІСІ. При цьому забороняється інвестувати понад 10 відсотків загальної вартості активів ІСІ у цінні папери органів місцевого самоврядування одного випуску;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5) придбавати або додатково інвестувати в цінні папери, доходи за якими гарантовано урядами іноземних держав, більше ніж 20 відсотків загальної вартості активів ІСІ. При цьому забороняється придбавати або додатково інвестувати в цінні папери, доходи за якими гарантовано урядом однієї іноземної держави, більше ніж 10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6) придбавати або додатково інвестувати в акції та облігації іноземних емітентів, які допущені до торгів на організованих фондових ринках іноземних держав, більше ніж 20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7) придбавати або додатково інвестувати в інші активи, передбачені законодавством України, більше ніж 5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8) придбавати або додатково інвестувати в об'єкти нерухомості більше ніж 10 відсотків загальної вартості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Вартість цінних паперів, що не допущені до торгів на фондовій біржі, не може становити більше ніж 30 відсотків загальної вартості активів ІСІ диверсифікованого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(абзац десятий пункту 3 розділу III із змінами, внесеними згідно з</w:t>
      </w:r>
      <w:r w:rsidRPr="00A14125">
        <w:rPr>
          <w:spacing w:val="0"/>
          <w:sz w:val="24"/>
          <w:szCs w:val="24"/>
        </w:rPr>
        <w:br/>
        <w:t> рішенням Національної комісії з цінних паперів та фондового ринку</w:t>
      </w:r>
      <w:r w:rsidRPr="00A14125">
        <w:rPr>
          <w:spacing w:val="0"/>
          <w:sz w:val="24"/>
          <w:szCs w:val="24"/>
        </w:rPr>
        <w:br/>
        <w:t> від 24.04.2018 р. N 247)</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IV. Особливості складу та структури активів спеціалізованих фондів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1. До спеціалізованих ІСІ належать інвестиційні фонди таких класів: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фонди грошового ринку;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фонди державних цінних паперів;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фонди облігацій;</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фонди акцій;</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5) індексні фонди;</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6) фонди банківських металів.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xml:space="preserve">2. Склад та структура активів спеціалізованих фондів повинні відповідати вимогам, які визначені у </w:t>
      </w:r>
      <w:r w:rsidRPr="00A14125">
        <w:rPr>
          <w:color w:val="000000"/>
          <w:spacing w:val="0"/>
          <w:sz w:val="24"/>
          <w:szCs w:val="24"/>
        </w:rPr>
        <w:t>статті 48 Закону</w:t>
      </w:r>
      <w:r w:rsidRPr="00A14125">
        <w:rPr>
          <w:spacing w:val="0"/>
          <w:sz w:val="24"/>
          <w:szCs w:val="24"/>
        </w:rPr>
        <w:t>.</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Визначення базового активу похідних (деривативів), які можуть бути включені до складу активів спеціалізованого ІСІ, здійснюється відповідно до актів законодавства, які встановлюють правила випуску та обігу таких похідних (деривативів).</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V. Вимоги щодо складу та структури активів недиверсифікованого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Активи недиверсифікованого ІСІ можуть становити всі активи, визначені в розділі II цього Положення, з урахуванням встановлених законодавством обмежень для недиверсифікованих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Структура активів недиверсифікованого ІСІ (крім венчурного ІСІ) повинна відповідати таким вимогам: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вартість нерухомості та цінних паперів, які не допущені до торгів на фондовій біржі, не може становити більше ніж 50 відсотків загальної вартості активів ІСІ недиверсифікованого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векселі та ощадні (депозитні) сертифікати не можуть становити більш як 30 відсотків вартості активів ІСІ недиверсифікованого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Активи венчурного фонду можуть повністю складатися з коштів, нерухомості, корпоративних прав, прав вимоги та цінних паперів, що не допущені до торгів на фондовій біржі.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До складу активів венчурного фонду можуть входити боргові зобов'язання. Такі зобов'язання можуть бути оформлені векселями, заставними, договорами відступлення права вимоги, позики та в інший спосіб, не заборонений законодавством.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Венчурний фонд має право надавати кошти у позику. Позики за рахунок коштів венчурного фонду можуть надаватися тільки юридичним особам за умови, що не менш як 10 відсотків статутного капіталу відповідної юридичної особи належить такому венчурному фонду.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Права вимоги можуть придбаватися виключно до складу активів венчурного фонду та лише за кредитними договорами банків, укладеними з юридичними особами. Придбання компанією з управління активами до складу активів венчурного фонду прав вимоги за кредитними договорами здійснюється шляхом укладення договорів відступлення права вимоги з урахуванням обмежень, встановлених Законом та цим Положенням.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(абзац четвертий пункту 3 розділу V у редакції рішень</w:t>
      </w:r>
      <w:r w:rsidRPr="00A14125">
        <w:rPr>
          <w:spacing w:val="0"/>
          <w:sz w:val="24"/>
          <w:szCs w:val="24"/>
        </w:rPr>
        <w:br/>
        <w:t> Національної комісії з цінних паперів та фондового ринку</w:t>
      </w:r>
      <w:r w:rsidRPr="00A14125">
        <w:rPr>
          <w:spacing w:val="0"/>
          <w:sz w:val="24"/>
          <w:szCs w:val="24"/>
        </w:rPr>
        <w:br/>
        <w:t> від 17.12.2015 р. N 2132,</w:t>
      </w:r>
      <w:r w:rsidRPr="00A14125">
        <w:rPr>
          <w:spacing w:val="0"/>
          <w:sz w:val="24"/>
          <w:szCs w:val="24"/>
        </w:rPr>
        <w:br/>
        <w:t>від 27.12.2018 р. N 910,</w:t>
      </w:r>
      <w:r w:rsidRPr="00A14125">
        <w:rPr>
          <w:spacing w:val="0"/>
          <w:sz w:val="24"/>
          <w:szCs w:val="24"/>
        </w:rPr>
        <w:br/>
      </w:r>
      <w:r w:rsidRPr="00A14125">
        <w:rPr>
          <w:i/>
          <w:iCs/>
          <w:spacing w:val="0"/>
          <w:sz w:val="24"/>
          <w:szCs w:val="24"/>
        </w:rPr>
        <w:t>зміни, внесені підпунктом 2 пункту 1 рішення Національної комісії</w:t>
      </w:r>
      <w:r w:rsidRPr="00A14125">
        <w:rPr>
          <w:i/>
          <w:iCs/>
          <w:spacing w:val="0"/>
          <w:sz w:val="24"/>
          <w:szCs w:val="24"/>
        </w:rPr>
        <w:br/>
        <w:t> з цінних паперів та фондового ринку від 27.12.2018 р. N 910, поширюються</w:t>
      </w:r>
      <w:r w:rsidRPr="00A14125">
        <w:rPr>
          <w:i/>
          <w:iCs/>
          <w:spacing w:val="0"/>
          <w:sz w:val="24"/>
          <w:szCs w:val="24"/>
        </w:rPr>
        <w:br/>
        <w:t> на договірні відносини, що виникли з дня набрання чинності зазначеним рішенням)</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Придбання прав вимоги до складу активів венчурного фонду здійснюється за оціночною вартістю, що визначається з дотриманням вимог законодавства про оцінку майна, майнових прав та професійну оціночну діяльність в Україні, зокрема з урахуванням ризиків невиконання боржником своїх зобов'язань.</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(абзац п'ятий пункту 3 розділу V у редакції рішення Національної</w:t>
      </w:r>
      <w:r w:rsidRPr="00A14125">
        <w:rPr>
          <w:spacing w:val="0"/>
          <w:sz w:val="24"/>
          <w:szCs w:val="24"/>
        </w:rPr>
        <w:br/>
        <w:t> комісії з цінних паперів та фондового ринку від 27.12.2018 р. N 910,</w:t>
      </w:r>
      <w:r w:rsidRPr="00A14125">
        <w:rPr>
          <w:spacing w:val="0"/>
          <w:sz w:val="24"/>
          <w:szCs w:val="24"/>
        </w:rPr>
        <w:br/>
      </w:r>
      <w:r w:rsidRPr="00A14125">
        <w:rPr>
          <w:i/>
          <w:iCs/>
          <w:spacing w:val="0"/>
          <w:sz w:val="24"/>
          <w:szCs w:val="24"/>
        </w:rPr>
        <w:t>зміни, внесені підпунктом 2 пункту 1 рішення Національної комісії</w:t>
      </w:r>
      <w:r w:rsidRPr="00A14125">
        <w:rPr>
          <w:i/>
          <w:iCs/>
          <w:spacing w:val="0"/>
          <w:sz w:val="24"/>
          <w:szCs w:val="24"/>
        </w:rPr>
        <w:br/>
        <w:t> з цінних паперів та фондового ринку від 27.12.2018 р. N 910, поширюються</w:t>
      </w:r>
      <w:r w:rsidRPr="00A14125">
        <w:rPr>
          <w:i/>
          <w:iCs/>
          <w:spacing w:val="0"/>
          <w:sz w:val="24"/>
          <w:szCs w:val="24"/>
        </w:rPr>
        <w:br/>
        <w:t> на договірні відносини, що виникли з дня набрання чинності зазначеним рішенням)</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VI. Вимоги до складу активів ІСІ кваліфікаційного виду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Активи ІСІ кваліфікаційного виду об'єднаного класу цінних паперів повністю складаються з цінних паперів та коштів.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Активи ІСІ кваліфікаційного виду класу нерухомості повністю складаються з нерухомості, майнових прав на нерухомість у процесі будівництва та коштів.</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3. Активи ІСІ кваліфікаційного виду класу рентних активів можуть повністю складатись з майна та майнових прав, які перебувають у цивільному обороті, з урахуванням обмежень, передбачених для інститутів спільного інвестування.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Передача за плату третім особам майна та майнових прав, сформованих інститутом спільного інвестування кваліфікаційного виду класу рентних активів за рахунок коштів спільного інвестування, в інший, ніж укладення договору ренти, оренди (суборенди), спосіб забороняється (крім випадків ліквідації та/або необхідності здійснення реалізації активів для задоволення заяви на викуп цінних паперів такого фонду).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(Положення доповнено новим розділом VI згідно з рішенням</w:t>
      </w:r>
      <w:r w:rsidRPr="00A14125">
        <w:rPr>
          <w:spacing w:val="0"/>
          <w:sz w:val="24"/>
          <w:szCs w:val="24"/>
        </w:rPr>
        <w:br/>
        <w:t> Національної комісії з цінних паперів та фондового ринку</w:t>
      </w:r>
      <w:r w:rsidRPr="00A14125">
        <w:rPr>
          <w:spacing w:val="0"/>
          <w:sz w:val="24"/>
          <w:szCs w:val="24"/>
        </w:rPr>
        <w:br/>
        <w:t> від 17.12.2015 р. N 2132,</w:t>
      </w:r>
      <w:r w:rsidRPr="00A14125">
        <w:rPr>
          <w:spacing w:val="0"/>
          <w:sz w:val="24"/>
          <w:szCs w:val="24"/>
        </w:rPr>
        <w:br/>
        <w:t> у зв'язку з цим розділ VI вважати розділом VII)</w:t>
      </w:r>
    </w:p>
    <w:p w:rsidR="00A14125" w:rsidRPr="00A14125" w:rsidRDefault="00A14125" w:rsidP="00A14125">
      <w:pPr>
        <w:shd w:val="clear" w:color="auto" w:fill="FFFFFF"/>
        <w:spacing w:before="100" w:beforeAutospacing="1" w:after="100" w:afterAutospacing="1"/>
        <w:outlineLvl w:val="2"/>
        <w:rPr>
          <w:b/>
          <w:bCs/>
          <w:spacing w:val="0"/>
          <w:sz w:val="27"/>
          <w:szCs w:val="27"/>
        </w:rPr>
      </w:pPr>
      <w:r w:rsidRPr="00A14125">
        <w:rPr>
          <w:b/>
          <w:bCs/>
          <w:spacing w:val="0"/>
          <w:sz w:val="27"/>
          <w:szCs w:val="27"/>
        </w:rPr>
        <w:t>VII. Порядок дотримання вимог щодо структури активів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1. У разі порушення вимог цього Положення щодо структури активів ІСІ компанія з управління активами повинна усунути порушення протягом 30 робочих днів від дня його виникнення або протягом 2 місяців, якщо порушення виникло внаслідок виключення фондовими біржами з біржового списку цінних паперів, що складають активи ІСІ.</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2. Якщо кредитний рейтинг цінних паперів, які входять до активів ІСІ (крім венчурного фонду), знизився нижче встановленого законодавством рівня, ІСІ (крім венчурного фонду) зобов'язані привести свої активи у відповідність до вимог цього Положення протягом року з дати зниження рейтингу.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lastRenderedPageBreak/>
        <w:t>3. Якщо рейтинг особи, зобов'язання якої перебувають в активах ІСІ або яка обслуговує ІСІ, знизився нижче встановленого законодавством рівня, ІСІ (крім венчурного фонду) зобов'язані привести свої активи та діяльність у відповідність до вимог цього Положення протягом року з дати зниження рейтингу.</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4. Про усунення порушення вимог щодо структури активів ІСІ компанія з управління активами зобов'язана повідомити Комісію, надати оригінали або засвідчені підписом уповноваженої особи компанії з управління активами копії документів, які підтверджують його усунення, протягом десяти робочих днів з дати його усунення.</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(пункт 4 розділу VII із змінами, внесеними згідно з рішенням</w:t>
      </w:r>
      <w:r w:rsidRPr="00A14125">
        <w:rPr>
          <w:spacing w:val="0"/>
          <w:sz w:val="24"/>
          <w:szCs w:val="24"/>
        </w:rPr>
        <w:br/>
        <w:t>Національної комісії з цінних паперів та фондового ринку від 27.12.2018 р. N 910)</w:t>
      </w:r>
    </w:p>
    <w:p w:rsidR="00A14125" w:rsidRPr="00A14125" w:rsidRDefault="00A14125" w:rsidP="00A14125">
      <w:pPr>
        <w:shd w:val="clear" w:color="auto" w:fill="FFFFFF"/>
        <w:spacing w:before="100" w:beforeAutospacing="1" w:after="100" w:afterAutospacing="1"/>
        <w:rPr>
          <w:spacing w:val="0"/>
          <w:sz w:val="24"/>
          <w:szCs w:val="24"/>
        </w:rPr>
      </w:pPr>
      <w:r w:rsidRPr="00A14125">
        <w:rPr>
          <w:spacing w:val="0"/>
          <w:sz w:val="24"/>
          <w:szCs w:val="24"/>
        </w:rPr>
        <w:t> </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5020"/>
        <w:gridCol w:w="5020"/>
      </w:tblGrid>
      <w:tr w:rsidR="00A14125" w:rsidRPr="00A14125" w:rsidTr="00A14125">
        <w:trPr>
          <w:tblCellSpacing w:w="22" w:type="dxa"/>
        </w:trPr>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Т. в. о. директора департаменту</w:t>
            </w:r>
            <w:r w:rsidRPr="00A14125">
              <w:rPr>
                <w:b/>
                <w:bCs/>
                <w:spacing w:val="0"/>
                <w:sz w:val="24"/>
                <w:szCs w:val="24"/>
              </w:rPr>
              <w:br/>
              <w:t>спільного інвестування та</w:t>
            </w:r>
            <w:r w:rsidRPr="00A14125">
              <w:rPr>
                <w:b/>
                <w:bCs/>
                <w:spacing w:val="0"/>
                <w:sz w:val="24"/>
                <w:szCs w:val="24"/>
              </w:rPr>
              <w:br/>
              <w:t>регулювання діяльності</w:t>
            </w:r>
            <w:r w:rsidRPr="00A14125">
              <w:rPr>
                <w:b/>
                <w:bCs/>
                <w:spacing w:val="0"/>
                <w:sz w:val="24"/>
                <w:szCs w:val="24"/>
              </w:rPr>
              <w:br/>
              <w:t>інституційних інвесторів</w:t>
            </w:r>
          </w:p>
        </w:tc>
        <w:tc>
          <w:tcPr>
            <w:tcW w:w="2500" w:type="pct"/>
            <w:vAlign w:val="center"/>
          </w:tcPr>
          <w:p w:rsidR="00A14125" w:rsidRPr="00A14125" w:rsidRDefault="00A14125" w:rsidP="00A14125">
            <w:pPr>
              <w:spacing w:before="100" w:beforeAutospacing="1" w:after="100" w:afterAutospacing="1"/>
              <w:rPr>
                <w:spacing w:val="0"/>
                <w:sz w:val="24"/>
                <w:szCs w:val="24"/>
              </w:rPr>
            </w:pPr>
            <w:r w:rsidRPr="00A14125">
              <w:rPr>
                <w:b/>
                <w:bCs/>
                <w:spacing w:val="0"/>
                <w:sz w:val="24"/>
                <w:szCs w:val="24"/>
              </w:rPr>
              <w:t xml:space="preserve">В. В. </w:t>
            </w:r>
            <w:proofErr w:type="spellStart"/>
            <w:r w:rsidRPr="00A14125">
              <w:rPr>
                <w:b/>
                <w:bCs/>
                <w:spacing w:val="0"/>
                <w:sz w:val="24"/>
                <w:szCs w:val="24"/>
              </w:rPr>
              <w:t>Дерев'янкін</w:t>
            </w:r>
            <w:proofErr w:type="spellEnd"/>
          </w:p>
        </w:tc>
      </w:tr>
    </w:tbl>
    <w:p w:rsidR="00402F38" w:rsidRDefault="00402F38"/>
    <w:sectPr w:rsidR="00402F38" w:rsidSect="00AE34BC">
      <w:pgSz w:w="11906" w:h="16838"/>
      <w:pgMar w:top="850" w:right="850"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125"/>
    <w:rsid w:val="001E1578"/>
    <w:rsid w:val="00402F38"/>
    <w:rsid w:val="006138B4"/>
    <w:rsid w:val="00A14125"/>
    <w:rsid w:val="00AE34BC"/>
    <w:rsid w:val="00BC56F5"/>
    <w:rsid w:val="00FC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81EA6"/>
  <w15:chartTrackingRefBased/>
  <w15:docId w15:val="{3EBEBC21-D060-483C-90E3-C2A9CB93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2"/>
      <w:sz w:val="28"/>
      <w:szCs w:val="28"/>
      <w:lang w:val="uk-UA" w:eastAsia="uk-UA"/>
    </w:rPr>
  </w:style>
  <w:style w:type="paragraph" w:styleId="2">
    <w:name w:val="heading 2"/>
    <w:basedOn w:val="a"/>
    <w:qFormat/>
    <w:rsid w:val="00A14125"/>
    <w:pPr>
      <w:spacing w:before="100" w:beforeAutospacing="1" w:after="100" w:afterAutospacing="1"/>
      <w:outlineLvl w:val="1"/>
    </w:pPr>
    <w:rPr>
      <w:b/>
      <w:bCs/>
      <w:spacing w:val="0"/>
      <w:sz w:val="36"/>
      <w:szCs w:val="36"/>
    </w:rPr>
  </w:style>
  <w:style w:type="paragraph" w:styleId="3">
    <w:name w:val="heading 3"/>
    <w:basedOn w:val="a"/>
    <w:qFormat/>
    <w:rsid w:val="00A14125"/>
    <w:pPr>
      <w:spacing w:before="100" w:beforeAutospacing="1" w:after="100" w:afterAutospacing="1"/>
      <w:outlineLvl w:val="2"/>
    </w:pPr>
    <w:rPr>
      <w:b/>
      <w:bCs/>
      <w:spacing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A14125"/>
    <w:pPr>
      <w:spacing w:before="100" w:beforeAutospacing="1" w:after="100" w:afterAutospacing="1"/>
    </w:pPr>
    <w:rPr>
      <w:spacing w:val="0"/>
      <w:sz w:val="24"/>
      <w:szCs w:val="24"/>
    </w:rPr>
  </w:style>
  <w:style w:type="paragraph" w:customStyle="1" w:styleId="tcbmf">
    <w:name w:val="tc bmf"/>
    <w:basedOn w:val="a"/>
    <w:rsid w:val="00A14125"/>
    <w:pPr>
      <w:spacing w:before="100" w:beforeAutospacing="1" w:after="100" w:afterAutospacing="1"/>
    </w:pPr>
    <w:rPr>
      <w:spacing w:val="0"/>
      <w:sz w:val="24"/>
      <w:szCs w:val="24"/>
    </w:rPr>
  </w:style>
  <w:style w:type="paragraph" w:customStyle="1" w:styleId="tj">
    <w:name w:val="tj"/>
    <w:basedOn w:val="a"/>
    <w:rsid w:val="00A14125"/>
    <w:pPr>
      <w:spacing w:before="100" w:beforeAutospacing="1" w:after="100" w:afterAutospacing="1"/>
    </w:pPr>
    <w:rPr>
      <w:spacing w:val="0"/>
      <w:sz w:val="24"/>
      <w:szCs w:val="24"/>
    </w:rPr>
  </w:style>
  <w:style w:type="paragraph" w:customStyle="1" w:styleId="tjbmf">
    <w:name w:val="tj bmf"/>
    <w:basedOn w:val="a"/>
    <w:rsid w:val="00A14125"/>
    <w:pPr>
      <w:spacing w:before="100" w:beforeAutospacing="1" w:after="100" w:afterAutospacing="1"/>
    </w:pPr>
    <w:rPr>
      <w:spacing w:val="0"/>
      <w:sz w:val="24"/>
      <w:szCs w:val="24"/>
    </w:rPr>
  </w:style>
  <w:style w:type="paragraph" w:customStyle="1" w:styleId="tlreflinkmrw45">
    <w:name w:val="tl reflink mr w45"/>
    <w:basedOn w:val="a"/>
    <w:rsid w:val="00A14125"/>
    <w:pPr>
      <w:spacing w:before="100" w:beforeAutospacing="1" w:after="100" w:afterAutospacing="1"/>
    </w:pPr>
    <w:rPr>
      <w:spacing w:val="0"/>
      <w:sz w:val="24"/>
      <w:szCs w:val="24"/>
    </w:rPr>
  </w:style>
  <w:style w:type="paragraph" w:customStyle="1" w:styleId="trbmf">
    <w:name w:val="tr bmf"/>
    <w:basedOn w:val="a"/>
    <w:rsid w:val="00A14125"/>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39782">
      <w:bodyDiv w:val="1"/>
      <w:marLeft w:val="0"/>
      <w:marRight w:val="0"/>
      <w:marTop w:val="0"/>
      <w:marBottom w:val="0"/>
      <w:divBdr>
        <w:top w:val="none" w:sz="0" w:space="0" w:color="auto"/>
        <w:left w:val="none" w:sz="0" w:space="0" w:color="auto"/>
        <w:bottom w:val="none" w:sz="0" w:space="0" w:color="auto"/>
        <w:right w:val="none" w:sz="0" w:space="0" w:color="auto"/>
      </w:divBdr>
      <w:divsChild>
        <w:div w:id="1542859615">
          <w:marLeft w:val="0"/>
          <w:marRight w:val="0"/>
          <w:marTop w:val="0"/>
          <w:marBottom w:val="0"/>
          <w:divBdr>
            <w:top w:val="none" w:sz="0" w:space="0" w:color="auto"/>
            <w:left w:val="none" w:sz="0" w:space="0" w:color="auto"/>
            <w:bottom w:val="none" w:sz="0" w:space="0" w:color="auto"/>
            <w:right w:val="none" w:sz="0" w:space="0" w:color="auto"/>
          </w:divBdr>
          <w:divsChild>
            <w:div w:id="15352821">
              <w:marLeft w:val="0"/>
              <w:marRight w:val="0"/>
              <w:marTop w:val="0"/>
              <w:marBottom w:val="0"/>
              <w:divBdr>
                <w:top w:val="none" w:sz="0" w:space="0" w:color="auto"/>
                <w:left w:val="none" w:sz="0" w:space="0" w:color="auto"/>
                <w:bottom w:val="none" w:sz="0" w:space="0" w:color="auto"/>
                <w:right w:val="none" w:sz="0" w:space="0" w:color="auto"/>
              </w:divBdr>
            </w:div>
            <w:div w:id="62072384">
              <w:marLeft w:val="0"/>
              <w:marRight w:val="0"/>
              <w:marTop w:val="0"/>
              <w:marBottom w:val="0"/>
              <w:divBdr>
                <w:top w:val="none" w:sz="0" w:space="0" w:color="auto"/>
                <w:left w:val="none" w:sz="0" w:space="0" w:color="auto"/>
                <w:bottom w:val="none" w:sz="0" w:space="0" w:color="auto"/>
                <w:right w:val="none" w:sz="0" w:space="0" w:color="auto"/>
              </w:divBdr>
            </w:div>
            <w:div w:id="67655320">
              <w:marLeft w:val="0"/>
              <w:marRight w:val="0"/>
              <w:marTop w:val="0"/>
              <w:marBottom w:val="0"/>
              <w:divBdr>
                <w:top w:val="none" w:sz="0" w:space="0" w:color="auto"/>
                <w:left w:val="none" w:sz="0" w:space="0" w:color="auto"/>
                <w:bottom w:val="none" w:sz="0" w:space="0" w:color="auto"/>
                <w:right w:val="none" w:sz="0" w:space="0" w:color="auto"/>
              </w:divBdr>
            </w:div>
            <w:div w:id="91585732">
              <w:marLeft w:val="0"/>
              <w:marRight w:val="0"/>
              <w:marTop w:val="0"/>
              <w:marBottom w:val="0"/>
              <w:divBdr>
                <w:top w:val="none" w:sz="0" w:space="0" w:color="auto"/>
                <w:left w:val="none" w:sz="0" w:space="0" w:color="auto"/>
                <w:bottom w:val="none" w:sz="0" w:space="0" w:color="auto"/>
                <w:right w:val="none" w:sz="0" w:space="0" w:color="auto"/>
              </w:divBdr>
            </w:div>
            <w:div w:id="95448591">
              <w:marLeft w:val="0"/>
              <w:marRight w:val="0"/>
              <w:marTop w:val="0"/>
              <w:marBottom w:val="0"/>
              <w:divBdr>
                <w:top w:val="none" w:sz="0" w:space="0" w:color="auto"/>
                <w:left w:val="none" w:sz="0" w:space="0" w:color="auto"/>
                <w:bottom w:val="none" w:sz="0" w:space="0" w:color="auto"/>
                <w:right w:val="none" w:sz="0" w:space="0" w:color="auto"/>
              </w:divBdr>
            </w:div>
            <w:div w:id="101465292">
              <w:marLeft w:val="0"/>
              <w:marRight w:val="0"/>
              <w:marTop w:val="0"/>
              <w:marBottom w:val="0"/>
              <w:divBdr>
                <w:top w:val="none" w:sz="0" w:space="0" w:color="auto"/>
                <w:left w:val="none" w:sz="0" w:space="0" w:color="auto"/>
                <w:bottom w:val="none" w:sz="0" w:space="0" w:color="auto"/>
                <w:right w:val="none" w:sz="0" w:space="0" w:color="auto"/>
              </w:divBdr>
            </w:div>
            <w:div w:id="191768721">
              <w:marLeft w:val="0"/>
              <w:marRight w:val="0"/>
              <w:marTop w:val="0"/>
              <w:marBottom w:val="0"/>
              <w:divBdr>
                <w:top w:val="none" w:sz="0" w:space="0" w:color="auto"/>
                <w:left w:val="none" w:sz="0" w:space="0" w:color="auto"/>
                <w:bottom w:val="none" w:sz="0" w:space="0" w:color="auto"/>
                <w:right w:val="none" w:sz="0" w:space="0" w:color="auto"/>
              </w:divBdr>
            </w:div>
            <w:div w:id="216355946">
              <w:marLeft w:val="0"/>
              <w:marRight w:val="0"/>
              <w:marTop w:val="0"/>
              <w:marBottom w:val="0"/>
              <w:divBdr>
                <w:top w:val="none" w:sz="0" w:space="0" w:color="auto"/>
                <w:left w:val="none" w:sz="0" w:space="0" w:color="auto"/>
                <w:bottom w:val="none" w:sz="0" w:space="0" w:color="auto"/>
                <w:right w:val="none" w:sz="0" w:space="0" w:color="auto"/>
              </w:divBdr>
            </w:div>
            <w:div w:id="217518759">
              <w:marLeft w:val="0"/>
              <w:marRight w:val="0"/>
              <w:marTop w:val="0"/>
              <w:marBottom w:val="0"/>
              <w:divBdr>
                <w:top w:val="none" w:sz="0" w:space="0" w:color="auto"/>
                <w:left w:val="none" w:sz="0" w:space="0" w:color="auto"/>
                <w:bottom w:val="none" w:sz="0" w:space="0" w:color="auto"/>
                <w:right w:val="none" w:sz="0" w:space="0" w:color="auto"/>
              </w:divBdr>
            </w:div>
            <w:div w:id="250164522">
              <w:marLeft w:val="0"/>
              <w:marRight w:val="0"/>
              <w:marTop w:val="0"/>
              <w:marBottom w:val="0"/>
              <w:divBdr>
                <w:top w:val="none" w:sz="0" w:space="0" w:color="auto"/>
                <w:left w:val="none" w:sz="0" w:space="0" w:color="auto"/>
                <w:bottom w:val="none" w:sz="0" w:space="0" w:color="auto"/>
                <w:right w:val="none" w:sz="0" w:space="0" w:color="auto"/>
              </w:divBdr>
            </w:div>
            <w:div w:id="256183230">
              <w:marLeft w:val="0"/>
              <w:marRight w:val="0"/>
              <w:marTop w:val="0"/>
              <w:marBottom w:val="0"/>
              <w:divBdr>
                <w:top w:val="none" w:sz="0" w:space="0" w:color="auto"/>
                <w:left w:val="none" w:sz="0" w:space="0" w:color="auto"/>
                <w:bottom w:val="none" w:sz="0" w:space="0" w:color="auto"/>
                <w:right w:val="none" w:sz="0" w:space="0" w:color="auto"/>
              </w:divBdr>
            </w:div>
            <w:div w:id="259532620">
              <w:marLeft w:val="0"/>
              <w:marRight w:val="0"/>
              <w:marTop w:val="0"/>
              <w:marBottom w:val="0"/>
              <w:divBdr>
                <w:top w:val="none" w:sz="0" w:space="0" w:color="auto"/>
                <w:left w:val="none" w:sz="0" w:space="0" w:color="auto"/>
                <w:bottom w:val="none" w:sz="0" w:space="0" w:color="auto"/>
                <w:right w:val="none" w:sz="0" w:space="0" w:color="auto"/>
              </w:divBdr>
            </w:div>
            <w:div w:id="261575504">
              <w:marLeft w:val="0"/>
              <w:marRight w:val="0"/>
              <w:marTop w:val="0"/>
              <w:marBottom w:val="0"/>
              <w:divBdr>
                <w:top w:val="none" w:sz="0" w:space="0" w:color="auto"/>
                <w:left w:val="none" w:sz="0" w:space="0" w:color="auto"/>
                <w:bottom w:val="none" w:sz="0" w:space="0" w:color="auto"/>
                <w:right w:val="none" w:sz="0" w:space="0" w:color="auto"/>
              </w:divBdr>
            </w:div>
            <w:div w:id="268197103">
              <w:marLeft w:val="0"/>
              <w:marRight w:val="0"/>
              <w:marTop w:val="0"/>
              <w:marBottom w:val="0"/>
              <w:divBdr>
                <w:top w:val="none" w:sz="0" w:space="0" w:color="auto"/>
                <w:left w:val="none" w:sz="0" w:space="0" w:color="auto"/>
                <w:bottom w:val="none" w:sz="0" w:space="0" w:color="auto"/>
                <w:right w:val="none" w:sz="0" w:space="0" w:color="auto"/>
              </w:divBdr>
            </w:div>
            <w:div w:id="287588622">
              <w:marLeft w:val="0"/>
              <w:marRight w:val="0"/>
              <w:marTop w:val="0"/>
              <w:marBottom w:val="0"/>
              <w:divBdr>
                <w:top w:val="none" w:sz="0" w:space="0" w:color="auto"/>
                <w:left w:val="none" w:sz="0" w:space="0" w:color="auto"/>
                <w:bottom w:val="none" w:sz="0" w:space="0" w:color="auto"/>
                <w:right w:val="none" w:sz="0" w:space="0" w:color="auto"/>
              </w:divBdr>
            </w:div>
            <w:div w:id="313265951">
              <w:marLeft w:val="0"/>
              <w:marRight w:val="0"/>
              <w:marTop w:val="0"/>
              <w:marBottom w:val="0"/>
              <w:divBdr>
                <w:top w:val="none" w:sz="0" w:space="0" w:color="auto"/>
                <w:left w:val="none" w:sz="0" w:space="0" w:color="auto"/>
                <w:bottom w:val="none" w:sz="0" w:space="0" w:color="auto"/>
                <w:right w:val="none" w:sz="0" w:space="0" w:color="auto"/>
              </w:divBdr>
            </w:div>
            <w:div w:id="320423693">
              <w:marLeft w:val="0"/>
              <w:marRight w:val="0"/>
              <w:marTop w:val="0"/>
              <w:marBottom w:val="0"/>
              <w:divBdr>
                <w:top w:val="none" w:sz="0" w:space="0" w:color="auto"/>
                <w:left w:val="none" w:sz="0" w:space="0" w:color="auto"/>
                <w:bottom w:val="none" w:sz="0" w:space="0" w:color="auto"/>
                <w:right w:val="none" w:sz="0" w:space="0" w:color="auto"/>
              </w:divBdr>
            </w:div>
            <w:div w:id="332688070">
              <w:marLeft w:val="0"/>
              <w:marRight w:val="0"/>
              <w:marTop w:val="0"/>
              <w:marBottom w:val="0"/>
              <w:divBdr>
                <w:top w:val="none" w:sz="0" w:space="0" w:color="auto"/>
                <w:left w:val="none" w:sz="0" w:space="0" w:color="auto"/>
                <w:bottom w:val="none" w:sz="0" w:space="0" w:color="auto"/>
                <w:right w:val="none" w:sz="0" w:space="0" w:color="auto"/>
              </w:divBdr>
            </w:div>
            <w:div w:id="362947332">
              <w:marLeft w:val="0"/>
              <w:marRight w:val="0"/>
              <w:marTop w:val="0"/>
              <w:marBottom w:val="0"/>
              <w:divBdr>
                <w:top w:val="none" w:sz="0" w:space="0" w:color="auto"/>
                <w:left w:val="none" w:sz="0" w:space="0" w:color="auto"/>
                <w:bottom w:val="none" w:sz="0" w:space="0" w:color="auto"/>
                <w:right w:val="none" w:sz="0" w:space="0" w:color="auto"/>
              </w:divBdr>
            </w:div>
            <w:div w:id="402528759">
              <w:marLeft w:val="0"/>
              <w:marRight w:val="0"/>
              <w:marTop w:val="0"/>
              <w:marBottom w:val="0"/>
              <w:divBdr>
                <w:top w:val="none" w:sz="0" w:space="0" w:color="auto"/>
                <w:left w:val="none" w:sz="0" w:space="0" w:color="auto"/>
                <w:bottom w:val="none" w:sz="0" w:space="0" w:color="auto"/>
                <w:right w:val="none" w:sz="0" w:space="0" w:color="auto"/>
              </w:divBdr>
            </w:div>
            <w:div w:id="417288613">
              <w:marLeft w:val="0"/>
              <w:marRight w:val="0"/>
              <w:marTop w:val="0"/>
              <w:marBottom w:val="0"/>
              <w:divBdr>
                <w:top w:val="none" w:sz="0" w:space="0" w:color="auto"/>
                <w:left w:val="none" w:sz="0" w:space="0" w:color="auto"/>
                <w:bottom w:val="none" w:sz="0" w:space="0" w:color="auto"/>
                <w:right w:val="none" w:sz="0" w:space="0" w:color="auto"/>
              </w:divBdr>
            </w:div>
            <w:div w:id="427119744">
              <w:marLeft w:val="0"/>
              <w:marRight w:val="0"/>
              <w:marTop w:val="0"/>
              <w:marBottom w:val="0"/>
              <w:divBdr>
                <w:top w:val="none" w:sz="0" w:space="0" w:color="auto"/>
                <w:left w:val="none" w:sz="0" w:space="0" w:color="auto"/>
                <w:bottom w:val="none" w:sz="0" w:space="0" w:color="auto"/>
                <w:right w:val="none" w:sz="0" w:space="0" w:color="auto"/>
              </w:divBdr>
            </w:div>
            <w:div w:id="431125556">
              <w:marLeft w:val="0"/>
              <w:marRight w:val="0"/>
              <w:marTop w:val="0"/>
              <w:marBottom w:val="0"/>
              <w:divBdr>
                <w:top w:val="none" w:sz="0" w:space="0" w:color="auto"/>
                <w:left w:val="none" w:sz="0" w:space="0" w:color="auto"/>
                <w:bottom w:val="none" w:sz="0" w:space="0" w:color="auto"/>
                <w:right w:val="none" w:sz="0" w:space="0" w:color="auto"/>
              </w:divBdr>
            </w:div>
            <w:div w:id="467281491">
              <w:marLeft w:val="0"/>
              <w:marRight w:val="0"/>
              <w:marTop w:val="0"/>
              <w:marBottom w:val="0"/>
              <w:divBdr>
                <w:top w:val="none" w:sz="0" w:space="0" w:color="auto"/>
                <w:left w:val="none" w:sz="0" w:space="0" w:color="auto"/>
                <w:bottom w:val="none" w:sz="0" w:space="0" w:color="auto"/>
                <w:right w:val="none" w:sz="0" w:space="0" w:color="auto"/>
              </w:divBdr>
            </w:div>
            <w:div w:id="470291820">
              <w:marLeft w:val="0"/>
              <w:marRight w:val="0"/>
              <w:marTop w:val="0"/>
              <w:marBottom w:val="0"/>
              <w:divBdr>
                <w:top w:val="none" w:sz="0" w:space="0" w:color="auto"/>
                <w:left w:val="none" w:sz="0" w:space="0" w:color="auto"/>
                <w:bottom w:val="none" w:sz="0" w:space="0" w:color="auto"/>
                <w:right w:val="none" w:sz="0" w:space="0" w:color="auto"/>
              </w:divBdr>
            </w:div>
            <w:div w:id="502822073">
              <w:marLeft w:val="0"/>
              <w:marRight w:val="0"/>
              <w:marTop w:val="0"/>
              <w:marBottom w:val="0"/>
              <w:divBdr>
                <w:top w:val="none" w:sz="0" w:space="0" w:color="auto"/>
                <w:left w:val="none" w:sz="0" w:space="0" w:color="auto"/>
                <w:bottom w:val="none" w:sz="0" w:space="0" w:color="auto"/>
                <w:right w:val="none" w:sz="0" w:space="0" w:color="auto"/>
              </w:divBdr>
            </w:div>
            <w:div w:id="511535644">
              <w:marLeft w:val="0"/>
              <w:marRight w:val="0"/>
              <w:marTop w:val="0"/>
              <w:marBottom w:val="0"/>
              <w:divBdr>
                <w:top w:val="none" w:sz="0" w:space="0" w:color="auto"/>
                <w:left w:val="none" w:sz="0" w:space="0" w:color="auto"/>
                <w:bottom w:val="none" w:sz="0" w:space="0" w:color="auto"/>
                <w:right w:val="none" w:sz="0" w:space="0" w:color="auto"/>
              </w:divBdr>
            </w:div>
            <w:div w:id="517238701">
              <w:marLeft w:val="0"/>
              <w:marRight w:val="0"/>
              <w:marTop w:val="0"/>
              <w:marBottom w:val="0"/>
              <w:divBdr>
                <w:top w:val="none" w:sz="0" w:space="0" w:color="auto"/>
                <w:left w:val="none" w:sz="0" w:space="0" w:color="auto"/>
                <w:bottom w:val="none" w:sz="0" w:space="0" w:color="auto"/>
                <w:right w:val="none" w:sz="0" w:space="0" w:color="auto"/>
              </w:divBdr>
            </w:div>
            <w:div w:id="534581840">
              <w:marLeft w:val="0"/>
              <w:marRight w:val="0"/>
              <w:marTop w:val="0"/>
              <w:marBottom w:val="0"/>
              <w:divBdr>
                <w:top w:val="none" w:sz="0" w:space="0" w:color="auto"/>
                <w:left w:val="none" w:sz="0" w:space="0" w:color="auto"/>
                <w:bottom w:val="none" w:sz="0" w:space="0" w:color="auto"/>
                <w:right w:val="none" w:sz="0" w:space="0" w:color="auto"/>
              </w:divBdr>
            </w:div>
            <w:div w:id="536310866">
              <w:marLeft w:val="0"/>
              <w:marRight w:val="0"/>
              <w:marTop w:val="0"/>
              <w:marBottom w:val="0"/>
              <w:divBdr>
                <w:top w:val="none" w:sz="0" w:space="0" w:color="auto"/>
                <w:left w:val="none" w:sz="0" w:space="0" w:color="auto"/>
                <w:bottom w:val="none" w:sz="0" w:space="0" w:color="auto"/>
                <w:right w:val="none" w:sz="0" w:space="0" w:color="auto"/>
              </w:divBdr>
            </w:div>
            <w:div w:id="540558764">
              <w:marLeft w:val="0"/>
              <w:marRight w:val="0"/>
              <w:marTop w:val="0"/>
              <w:marBottom w:val="0"/>
              <w:divBdr>
                <w:top w:val="none" w:sz="0" w:space="0" w:color="auto"/>
                <w:left w:val="none" w:sz="0" w:space="0" w:color="auto"/>
                <w:bottom w:val="none" w:sz="0" w:space="0" w:color="auto"/>
                <w:right w:val="none" w:sz="0" w:space="0" w:color="auto"/>
              </w:divBdr>
            </w:div>
            <w:div w:id="544760122">
              <w:marLeft w:val="0"/>
              <w:marRight w:val="0"/>
              <w:marTop w:val="0"/>
              <w:marBottom w:val="0"/>
              <w:divBdr>
                <w:top w:val="none" w:sz="0" w:space="0" w:color="auto"/>
                <w:left w:val="none" w:sz="0" w:space="0" w:color="auto"/>
                <w:bottom w:val="none" w:sz="0" w:space="0" w:color="auto"/>
                <w:right w:val="none" w:sz="0" w:space="0" w:color="auto"/>
              </w:divBdr>
            </w:div>
            <w:div w:id="547642264">
              <w:marLeft w:val="0"/>
              <w:marRight w:val="0"/>
              <w:marTop w:val="0"/>
              <w:marBottom w:val="0"/>
              <w:divBdr>
                <w:top w:val="none" w:sz="0" w:space="0" w:color="auto"/>
                <w:left w:val="none" w:sz="0" w:space="0" w:color="auto"/>
                <w:bottom w:val="none" w:sz="0" w:space="0" w:color="auto"/>
                <w:right w:val="none" w:sz="0" w:space="0" w:color="auto"/>
              </w:divBdr>
            </w:div>
            <w:div w:id="557596708">
              <w:marLeft w:val="0"/>
              <w:marRight w:val="0"/>
              <w:marTop w:val="0"/>
              <w:marBottom w:val="0"/>
              <w:divBdr>
                <w:top w:val="none" w:sz="0" w:space="0" w:color="auto"/>
                <w:left w:val="none" w:sz="0" w:space="0" w:color="auto"/>
                <w:bottom w:val="none" w:sz="0" w:space="0" w:color="auto"/>
                <w:right w:val="none" w:sz="0" w:space="0" w:color="auto"/>
              </w:divBdr>
            </w:div>
            <w:div w:id="576748234">
              <w:marLeft w:val="0"/>
              <w:marRight w:val="0"/>
              <w:marTop w:val="0"/>
              <w:marBottom w:val="0"/>
              <w:divBdr>
                <w:top w:val="none" w:sz="0" w:space="0" w:color="auto"/>
                <w:left w:val="none" w:sz="0" w:space="0" w:color="auto"/>
                <w:bottom w:val="none" w:sz="0" w:space="0" w:color="auto"/>
                <w:right w:val="none" w:sz="0" w:space="0" w:color="auto"/>
              </w:divBdr>
            </w:div>
            <w:div w:id="579945453">
              <w:marLeft w:val="0"/>
              <w:marRight w:val="0"/>
              <w:marTop w:val="0"/>
              <w:marBottom w:val="0"/>
              <w:divBdr>
                <w:top w:val="none" w:sz="0" w:space="0" w:color="auto"/>
                <w:left w:val="none" w:sz="0" w:space="0" w:color="auto"/>
                <w:bottom w:val="none" w:sz="0" w:space="0" w:color="auto"/>
                <w:right w:val="none" w:sz="0" w:space="0" w:color="auto"/>
              </w:divBdr>
            </w:div>
            <w:div w:id="592275262">
              <w:marLeft w:val="0"/>
              <w:marRight w:val="0"/>
              <w:marTop w:val="0"/>
              <w:marBottom w:val="0"/>
              <w:divBdr>
                <w:top w:val="none" w:sz="0" w:space="0" w:color="auto"/>
                <w:left w:val="none" w:sz="0" w:space="0" w:color="auto"/>
                <w:bottom w:val="none" w:sz="0" w:space="0" w:color="auto"/>
                <w:right w:val="none" w:sz="0" w:space="0" w:color="auto"/>
              </w:divBdr>
            </w:div>
            <w:div w:id="619606286">
              <w:marLeft w:val="0"/>
              <w:marRight w:val="0"/>
              <w:marTop w:val="0"/>
              <w:marBottom w:val="0"/>
              <w:divBdr>
                <w:top w:val="none" w:sz="0" w:space="0" w:color="auto"/>
                <w:left w:val="none" w:sz="0" w:space="0" w:color="auto"/>
                <w:bottom w:val="none" w:sz="0" w:space="0" w:color="auto"/>
                <w:right w:val="none" w:sz="0" w:space="0" w:color="auto"/>
              </w:divBdr>
            </w:div>
            <w:div w:id="659848806">
              <w:marLeft w:val="0"/>
              <w:marRight w:val="0"/>
              <w:marTop w:val="0"/>
              <w:marBottom w:val="0"/>
              <w:divBdr>
                <w:top w:val="none" w:sz="0" w:space="0" w:color="auto"/>
                <w:left w:val="none" w:sz="0" w:space="0" w:color="auto"/>
                <w:bottom w:val="none" w:sz="0" w:space="0" w:color="auto"/>
                <w:right w:val="none" w:sz="0" w:space="0" w:color="auto"/>
              </w:divBdr>
            </w:div>
            <w:div w:id="663507117">
              <w:marLeft w:val="0"/>
              <w:marRight w:val="0"/>
              <w:marTop w:val="0"/>
              <w:marBottom w:val="0"/>
              <w:divBdr>
                <w:top w:val="none" w:sz="0" w:space="0" w:color="auto"/>
                <w:left w:val="none" w:sz="0" w:space="0" w:color="auto"/>
                <w:bottom w:val="none" w:sz="0" w:space="0" w:color="auto"/>
                <w:right w:val="none" w:sz="0" w:space="0" w:color="auto"/>
              </w:divBdr>
            </w:div>
            <w:div w:id="688945855">
              <w:marLeft w:val="0"/>
              <w:marRight w:val="0"/>
              <w:marTop w:val="0"/>
              <w:marBottom w:val="0"/>
              <w:divBdr>
                <w:top w:val="none" w:sz="0" w:space="0" w:color="auto"/>
                <w:left w:val="none" w:sz="0" w:space="0" w:color="auto"/>
                <w:bottom w:val="none" w:sz="0" w:space="0" w:color="auto"/>
                <w:right w:val="none" w:sz="0" w:space="0" w:color="auto"/>
              </w:divBdr>
            </w:div>
            <w:div w:id="695041182">
              <w:marLeft w:val="0"/>
              <w:marRight w:val="0"/>
              <w:marTop w:val="0"/>
              <w:marBottom w:val="0"/>
              <w:divBdr>
                <w:top w:val="none" w:sz="0" w:space="0" w:color="auto"/>
                <w:left w:val="none" w:sz="0" w:space="0" w:color="auto"/>
                <w:bottom w:val="none" w:sz="0" w:space="0" w:color="auto"/>
                <w:right w:val="none" w:sz="0" w:space="0" w:color="auto"/>
              </w:divBdr>
            </w:div>
            <w:div w:id="740450293">
              <w:marLeft w:val="0"/>
              <w:marRight w:val="0"/>
              <w:marTop w:val="0"/>
              <w:marBottom w:val="0"/>
              <w:divBdr>
                <w:top w:val="none" w:sz="0" w:space="0" w:color="auto"/>
                <w:left w:val="none" w:sz="0" w:space="0" w:color="auto"/>
                <w:bottom w:val="none" w:sz="0" w:space="0" w:color="auto"/>
                <w:right w:val="none" w:sz="0" w:space="0" w:color="auto"/>
              </w:divBdr>
            </w:div>
            <w:div w:id="751270955">
              <w:marLeft w:val="0"/>
              <w:marRight w:val="0"/>
              <w:marTop w:val="0"/>
              <w:marBottom w:val="0"/>
              <w:divBdr>
                <w:top w:val="none" w:sz="0" w:space="0" w:color="auto"/>
                <w:left w:val="none" w:sz="0" w:space="0" w:color="auto"/>
                <w:bottom w:val="none" w:sz="0" w:space="0" w:color="auto"/>
                <w:right w:val="none" w:sz="0" w:space="0" w:color="auto"/>
              </w:divBdr>
            </w:div>
            <w:div w:id="769858877">
              <w:marLeft w:val="0"/>
              <w:marRight w:val="0"/>
              <w:marTop w:val="0"/>
              <w:marBottom w:val="0"/>
              <w:divBdr>
                <w:top w:val="none" w:sz="0" w:space="0" w:color="auto"/>
                <w:left w:val="none" w:sz="0" w:space="0" w:color="auto"/>
                <w:bottom w:val="none" w:sz="0" w:space="0" w:color="auto"/>
                <w:right w:val="none" w:sz="0" w:space="0" w:color="auto"/>
              </w:divBdr>
            </w:div>
            <w:div w:id="798844291">
              <w:marLeft w:val="0"/>
              <w:marRight w:val="0"/>
              <w:marTop w:val="0"/>
              <w:marBottom w:val="0"/>
              <w:divBdr>
                <w:top w:val="none" w:sz="0" w:space="0" w:color="auto"/>
                <w:left w:val="none" w:sz="0" w:space="0" w:color="auto"/>
                <w:bottom w:val="none" w:sz="0" w:space="0" w:color="auto"/>
                <w:right w:val="none" w:sz="0" w:space="0" w:color="auto"/>
              </w:divBdr>
            </w:div>
            <w:div w:id="823132545">
              <w:marLeft w:val="0"/>
              <w:marRight w:val="0"/>
              <w:marTop w:val="0"/>
              <w:marBottom w:val="0"/>
              <w:divBdr>
                <w:top w:val="none" w:sz="0" w:space="0" w:color="auto"/>
                <w:left w:val="none" w:sz="0" w:space="0" w:color="auto"/>
                <w:bottom w:val="none" w:sz="0" w:space="0" w:color="auto"/>
                <w:right w:val="none" w:sz="0" w:space="0" w:color="auto"/>
              </w:divBdr>
            </w:div>
            <w:div w:id="884216117">
              <w:marLeft w:val="0"/>
              <w:marRight w:val="0"/>
              <w:marTop w:val="0"/>
              <w:marBottom w:val="0"/>
              <w:divBdr>
                <w:top w:val="none" w:sz="0" w:space="0" w:color="auto"/>
                <w:left w:val="none" w:sz="0" w:space="0" w:color="auto"/>
                <w:bottom w:val="none" w:sz="0" w:space="0" w:color="auto"/>
                <w:right w:val="none" w:sz="0" w:space="0" w:color="auto"/>
              </w:divBdr>
            </w:div>
            <w:div w:id="887767347">
              <w:marLeft w:val="0"/>
              <w:marRight w:val="0"/>
              <w:marTop w:val="0"/>
              <w:marBottom w:val="0"/>
              <w:divBdr>
                <w:top w:val="none" w:sz="0" w:space="0" w:color="auto"/>
                <w:left w:val="none" w:sz="0" w:space="0" w:color="auto"/>
                <w:bottom w:val="none" w:sz="0" w:space="0" w:color="auto"/>
                <w:right w:val="none" w:sz="0" w:space="0" w:color="auto"/>
              </w:divBdr>
            </w:div>
            <w:div w:id="899941163">
              <w:marLeft w:val="0"/>
              <w:marRight w:val="0"/>
              <w:marTop w:val="0"/>
              <w:marBottom w:val="0"/>
              <w:divBdr>
                <w:top w:val="none" w:sz="0" w:space="0" w:color="auto"/>
                <w:left w:val="none" w:sz="0" w:space="0" w:color="auto"/>
                <w:bottom w:val="none" w:sz="0" w:space="0" w:color="auto"/>
                <w:right w:val="none" w:sz="0" w:space="0" w:color="auto"/>
              </w:divBdr>
            </w:div>
            <w:div w:id="900751692">
              <w:marLeft w:val="0"/>
              <w:marRight w:val="0"/>
              <w:marTop w:val="0"/>
              <w:marBottom w:val="0"/>
              <w:divBdr>
                <w:top w:val="none" w:sz="0" w:space="0" w:color="auto"/>
                <w:left w:val="none" w:sz="0" w:space="0" w:color="auto"/>
                <w:bottom w:val="none" w:sz="0" w:space="0" w:color="auto"/>
                <w:right w:val="none" w:sz="0" w:space="0" w:color="auto"/>
              </w:divBdr>
            </w:div>
            <w:div w:id="956563590">
              <w:marLeft w:val="0"/>
              <w:marRight w:val="0"/>
              <w:marTop w:val="0"/>
              <w:marBottom w:val="0"/>
              <w:divBdr>
                <w:top w:val="none" w:sz="0" w:space="0" w:color="auto"/>
                <w:left w:val="none" w:sz="0" w:space="0" w:color="auto"/>
                <w:bottom w:val="none" w:sz="0" w:space="0" w:color="auto"/>
                <w:right w:val="none" w:sz="0" w:space="0" w:color="auto"/>
              </w:divBdr>
            </w:div>
            <w:div w:id="972059205">
              <w:marLeft w:val="0"/>
              <w:marRight w:val="0"/>
              <w:marTop w:val="0"/>
              <w:marBottom w:val="0"/>
              <w:divBdr>
                <w:top w:val="none" w:sz="0" w:space="0" w:color="auto"/>
                <w:left w:val="none" w:sz="0" w:space="0" w:color="auto"/>
                <w:bottom w:val="none" w:sz="0" w:space="0" w:color="auto"/>
                <w:right w:val="none" w:sz="0" w:space="0" w:color="auto"/>
              </w:divBdr>
            </w:div>
            <w:div w:id="974485006">
              <w:marLeft w:val="0"/>
              <w:marRight w:val="0"/>
              <w:marTop w:val="0"/>
              <w:marBottom w:val="0"/>
              <w:divBdr>
                <w:top w:val="none" w:sz="0" w:space="0" w:color="auto"/>
                <w:left w:val="none" w:sz="0" w:space="0" w:color="auto"/>
                <w:bottom w:val="none" w:sz="0" w:space="0" w:color="auto"/>
                <w:right w:val="none" w:sz="0" w:space="0" w:color="auto"/>
              </w:divBdr>
            </w:div>
            <w:div w:id="1016079670">
              <w:marLeft w:val="0"/>
              <w:marRight w:val="0"/>
              <w:marTop w:val="0"/>
              <w:marBottom w:val="0"/>
              <w:divBdr>
                <w:top w:val="none" w:sz="0" w:space="0" w:color="auto"/>
                <w:left w:val="none" w:sz="0" w:space="0" w:color="auto"/>
                <w:bottom w:val="none" w:sz="0" w:space="0" w:color="auto"/>
                <w:right w:val="none" w:sz="0" w:space="0" w:color="auto"/>
              </w:divBdr>
            </w:div>
            <w:div w:id="1031954465">
              <w:marLeft w:val="0"/>
              <w:marRight w:val="0"/>
              <w:marTop w:val="0"/>
              <w:marBottom w:val="0"/>
              <w:divBdr>
                <w:top w:val="none" w:sz="0" w:space="0" w:color="auto"/>
                <w:left w:val="none" w:sz="0" w:space="0" w:color="auto"/>
                <w:bottom w:val="none" w:sz="0" w:space="0" w:color="auto"/>
                <w:right w:val="none" w:sz="0" w:space="0" w:color="auto"/>
              </w:divBdr>
            </w:div>
            <w:div w:id="1035615234">
              <w:marLeft w:val="0"/>
              <w:marRight w:val="0"/>
              <w:marTop w:val="0"/>
              <w:marBottom w:val="0"/>
              <w:divBdr>
                <w:top w:val="none" w:sz="0" w:space="0" w:color="auto"/>
                <w:left w:val="none" w:sz="0" w:space="0" w:color="auto"/>
                <w:bottom w:val="none" w:sz="0" w:space="0" w:color="auto"/>
                <w:right w:val="none" w:sz="0" w:space="0" w:color="auto"/>
              </w:divBdr>
            </w:div>
            <w:div w:id="1051076255">
              <w:marLeft w:val="0"/>
              <w:marRight w:val="0"/>
              <w:marTop w:val="0"/>
              <w:marBottom w:val="0"/>
              <w:divBdr>
                <w:top w:val="none" w:sz="0" w:space="0" w:color="auto"/>
                <w:left w:val="none" w:sz="0" w:space="0" w:color="auto"/>
                <w:bottom w:val="none" w:sz="0" w:space="0" w:color="auto"/>
                <w:right w:val="none" w:sz="0" w:space="0" w:color="auto"/>
              </w:divBdr>
            </w:div>
            <w:div w:id="1059668623">
              <w:marLeft w:val="0"/>
              <w:marRight w:val="0"/>
              <w:marTop w:val="0"/>
              <w:marBottom w:val="0"/>
              <w:divBdr>
                <w:top w:val="none" w:sz="0" w:space="0" w:color="auto"/>
                <w:left w:val="none" w:sz="0" w:space="0" w:color="auto"/>
                <w:bottom w:val="none" w:sz="0" w:space="0" w:color="auto"/>
                <w:right w:val="none" w:sz="0" w:space="0" w:color="auto"/>
              </w:divBdr>
            </w:div>
            <w:div w:id="1070736999">
              <w:marLeft w:val="0"/>
              <w:marRight w:val="0"/>
              <w:marTop w:val="0"/>
              <w:marBottom w:val="0"/>
              <w:divBdr>
                <w:top w:val="none" w:sz="0" w:space="0" w:color="auto"/>
                <w:left w:val="none" w:sz="0" w:space="0" w:color="auto"/>
                <w:bottom w:val="none" w:sz="0" w:space="0" w:color="auto"/>
                <w:right w:val="none" w:sz="0" w:space="0" w:color="auto"/>
              </w:divBdr>
            </w:div>
            <w:div w:id="1074939397">
              <w:marLeft w:val="0"/>
              <w:marRight w:val="0"/>
              <w:marTop w:val="0"/>
              <w:marBottom w:val="0"/>
              <w:divBdr>
                <w:top w:val="none" w:sz="0" w:space="0" w:color="auto"/>
                <w:left w:val="none" w:sz="0" w:space="0" w:color="auto"/>
                <w:bottom w:val="none" w:sz="0" w:space="0" w:color="auto"/>
                <w:right w:val="none" w:sz="0" w:space="0" w:color="auto"/>
              </w:divBdr>
            </w:div>
            <w:div w:id="1084767979">
              <w:marLeft w:val="0"/>
              <w:marRight w:val="0"/>
              <w:marTop w:val="0"/>
              <w:marBottom w:val="0"/>
              <w:divBdr>
                <w:top w:val="none" w:sz="0" w:space="0" w:color="auto"/>
                <w:left w:val="none" w:sz="0" w:space="0" w:color="auto"/>
                <w:bottom w:val="none" w:sz="0" w:space="0" w:color="auto"/>
                <w:right w:val="none" w:sz="0" w:space="0" w:color="auto"/>
              </w:divBdr>
            </w:div>
            <w:div w:id="1150052929">
              <w:marLeft w:val="0"/>
              <w:marRight w:val="0"/>
              <w:marTop w:val="0"/>
              <w:marBottom w:val="0"/>
              <w:divBdr>
                <w:top w:val="none" w:sz="0" w:space="0" w:color="auto"/>
                <w:left w:val="none" w:sz="0" w:space="0" w:color="auto"/>
                <w:bottom w:val="none" w:sz="0" w:space="0" w:color="auto"/>
                <w:right w:val="none" w:sz="0" w:space="0" w:color="auto"/>
              </w:divBdr>
            </w:div>
            <w:div w:id="1162965376">
              <w:marLeft w:val="0"/>
              <w:marRight w:val="0"/>
              <w:marTop w:val="0"/>
              <w:marBottom w:val="0"/>
              <w:divBdr>
                <w:top w:val="none" w:sz="0" w:space="0" w:color="auto"/>
                <w:left w:val="none" w:sz="0" w:space="0" w:color="auto"/>
                <w:bottom w:val="none" w:sz="0" w:space="0" w:color="auto"/>
                <w:right w:val="none" w:sz="0" w:space="0" w:color="auto"/>
              </w:divBdr>
            </w:div>
            <w:div w:id="1205167874">
              <w:marLeft w:val="0"/>
              <w:marRight w:val="0"/>
              <w:marTop w:val="0"/>
              <w:marBottom w:val="0"/>
              <w:divBdr>
                <w:top w:val="none" w:sz="0" w:space="0" w:color="auto"/>
                <w:left w:val="none" w:sz="0" w:space="0" w:color="auto"/>
                <w:bottom w:val="none" w:sz="0" w:space="0" w:color="auto"/>
                <w:right w:val="none" w:sz="0" w:space="0" w:color="auto"/>
              </w:divBdr>
            </w:div>
            <w:div w:id="1226523729">
              <w:marLeft w:val="0"/>
              <w:marRight w:val="0"/>
              <w:marTop w:val="0"/>
              <w:marBottom w:val="0"/>
              <w:divBdr>
                <w:top w:val="none" w:sz="0" w:space="0" w:color="auto"/>
                <w:left w:val="none" w:sz="0" w:space="0" w:color="auto"/>
                <w:bottom w:val="none" w:sz="0" w:space="0" w:color="auto"/>
                <w:right w:val="none" w:sz="0" w:space="0" w:color="auto"/>
              </w:divBdr>
            </w:div>
            <w:div w:id="1256016666">
              <w:marLeft w:val="0"/>
              <w:marRight w:val="0"/>
              <w:marTop w:val="0"/>
              <w:marBottom w:val="0"/>
              <w:divBdr>
                <w:top w:val="none" w:sz="0" w:space="0" w:color="auto"/>
                <w:left w:val="none" w:sz="0" w:space="0" w:color="auto"/>
                <w:bottom w:val="none" w:sz="0" w:space="0" w:color="auto"/>
                <w:right w:val="none" w:sz="0" w:space="0" w:color="auto"/>
              </w:divBdr>
            </w:div>
            <w:div w:id="1260334830">
              <w:marLeft w:val="0"/>
              <w:marRight w:val="0"/>
              <w:marTop w:val="0"/>
              <w:marBottom w:val="0"/>
              <w:divBdr>
                <w:top w:val="none" w:sz="0" w:space="0" w:color="auto"/>
                <w:left w:val="none" w:sz="0" w:space="0" w:color="auto"/>
                <w:bottom w:val="none" w:sz="0" w:space="0" w:color="auto"/>
                <w:right w:val="none" w:sz="0" w:space="0" w:color="auto"/>
              </w:divBdr>
            </w:div>
            <w:div w:id="1284262985">
              <w:marLeft w:val="0"/>
              <w:marRight w:val="0"/>
              <w:marTop w:val="0"/>
              <w:marBottom w:val="0"/>
              <w:divBdr>
                <w:top w:val="none" w:sz="0" w:space="0" w:color="auto"/>
                <w:left w:val="none" w:sz="0" w:space="0" w:color="auto"/>
                <w:bottom w:val="none" w:sz="0" w:space="0" w:color="auto"/>
                <w:right w:val="none" w:sz="0" w:space="0" w:color="auto"/>
              </w:divBdr>
            </w:div>
            <w:div w:id="1287394264">
              <w:marLeft w:val="0"/>
              <w:marRight w:val="0"/>
              <w:marTop w:val="0"/>
              <w:marBottom w:val="0"/>
              <w:divBdr>
                <w:top w:val="none" w:sz="0" w:space="0" w:color="auto"/>
                <w:left w:val="none" w:sz="0" w:space="0" w:color="auto"/>
                <w:bottom w:val="none" w:sz="0" w:space="0" w:color="auto"/>
                <w:right w:val="none" w:sz="0" w:space="0" w:color="auto"/>
              </w:divBdr>
            </w:div>
            <w:div w:id="1311011403">
              <w:marLeft w:val="0"/>
              <w:marRight w:val="0"/>
              <w:marTop w:val="0"/>
              <w:marBottom w:val="0"/>
              <w:divBdr>
                <w:top w:val="none" w:sz="0" w:space="0" w:color="auto"/>
                <w:left w:val="none" w:sz="0" w:space="0" w:color="auto"/>
                <w:bottom w:val="none" w:sz="0" w:space="0" w:color="auto"/>
                <w:right w:val="none" w:sz="0" w:space="0" w:color="auto"/>
              </w:divBdr>
            </w:div>
            <w:div w:id="1319455926">
              <w:marLeft w:val="0"/>
              <w:marRight w:val="0"/>
              <w:marTop w:val="0"/>
              <w:marBottom w:val="0"/>
              <w:divBdr>
                <w:top w:val="none" w:sz="0" w:space="0" w:color="auto"/>
                <w:left w:val="none" w:sz="0" w:space="0" w:color="auto"/>
                <w:bottom w:val="none" w:sz="0" w:space="0" w:color="auto"/>
                <w:right w:val="none" w:sz="0" w:space="0" w:color="auto"/>
              </w:divBdr>
            </w:div>
            <w:div w:id="1323584782">
              <w:marLeft w:val="0"/>
              <w:marRight w:val="0"/>
              <w:marTop w:val="0"/>
              <w:marBottom w:val="0"/>
              <w:divBdr>
                <w:top w:val="none" w:sz="0" w:space="0" w:color="auto"/>
                <w:left w:val="none" w:sz="0" w:space="0" w:color="auto"/>
                <w:bottom w:val="none" w:sz="0" w:space="0" w:color="auto"/>
                <w:right w:val="none" w:sz="0" w:space="0" w:color="auto"/>
              </w:divBdr>
            </w:div>
            <w:div w:id="1337924089">
              <w:marLeft w:val="0"/>
              <w:marRight w:val="0"/>
              <w:marTop w:val="0"/>
              <w:marBottom w:val="0"/>
              <w:divBdr>
                <w:top w:val="none" w:sz="0" w:space="0" w:color="auto"/>
                <w:left w:val="none" w:sz="0" w:space="0" w:color="auto"/>
                <w:bottom w:val="none" w:sz="0" w:space="0" w:color="auto"/>
                <w:right w:val="none" w:sz="0" w:space="0" w:color="auto"/>
              </w:divBdr>
            </w:div>
            <w:div w:id="1342463378">
              <w:marLeft w:val="0"/>
              <w:marRight w:val="0"/>
              <w:marTop w:val="0"/>
              <w:marBottom w:val="0"/>
              <w:divBdr>
                <w:top w:val="none" w:sz="0" w:space="0" w:color="auto"/>
                <w:left w:val="none" w:sz="0" w:space="0" w:color="auto"/>
                <w:bottom w:val="none" w:sz="0" w:space="0" w:color="auto"/>
                <w:right w:val="none" w:sz="0" w:space="0" w:color="auto"/>
              </w:divBdr>
            </w:div>
            <w:div w:id="1351646347">
              <w:marLeft w:val="0"/>
              <w:marRight w:val="0"/>
              <w:marTop w:val="0"/>
              <w:marBottom w:val="0"/>
              <w:divBdr>
                <w:top w:val="none" w:sz="0" w:space="0" w:color="auto"/>
                <w:left w:val="none" w:sz="0" w:space="0" w:color="auto"/>
                <w:bottom w:val="none" w:sz="0" w:space="0" w:color="auto"/>
                <w:right w:val="none" w:sz="0" w:space="0" w:color="auto"/>
              </w:divBdr>
            </w:div>
            <w:div w:id="1356880748">
              <w:marLeft w:val="0"/>
              <w:marRight w:val="0"/>
              <w:marTop w:val="0"/>
              <w:marBottom w:val="0"/>
              <w:divBdr>
                <w:top w:val="none" w:sz="0" w:space="0" w:color="auto"/>
                <w:left w:val="none" w:sz="0" w:space="0" w:color="auto"/>
                <w:bottom w:val="none" w:sz="0" w:space="0" w:color="auto"/>
                <w:right w:val="none" w:sz="0" w:space="0" w:color="auto"/>
              </w:divBdr>
            </w:div>
            <w:div w:id="1366784848">
              <w:marLeft w:val="0"/>
              <w:marRight w:val="0"/>
              <w:marTop w:val="0"/>
              <w:marBottom w:val="0"/>
              <w:divBdr>
                <w:top w:val="none" w:sz="0" w:space="0" w:color="auto"/>
                <w:left w:val="none" w:sz="0" w:space="0" w:color="auto"/>
                <w:bottom w:val="none" w:sz="0" w:space="0" w:color="auto"/>
                <w:right w:val="none" w:sz="0" w:space="0" w:color="auto"/>
              </w:divBdr>
            </w:div>
            <w:div w:id="1372920210">
              <w:marLeft w:val="0"/>
              <w:marRight w:val="0"/>
              <w:marTop w:val="0"/>
              <w:marBottom w:val="0"/>
              <w:divBdr>
                <w:top w:val="none" w:sz="0" w:space="0" w:color="auto"/>
                <w:left w:val="none" w:sz="0" w:space="0" w:color="auto"/>
                <w:bottom w:val="none" w:sz="0" w:space="0" w:color="auto"/>
                <w:right w:val="none" w:sz="0" w:space="0" w:color="auto"/>
              </w:divBdr>
            </w:div>
            <w:div w:id="1387531676">
              <w:marLeft w:val="0"/>
              <w:marRight w:val="0"/>
              <w:marTop w:val="0"/>
              <w:marBottom w:val="0"/>
              <w:divBdr>
                <w:top w:val="none" w:sz="0" w:space="0" w:color="auto"/>
                <w:left w:val="none" w:sz="0" w:space="0" w:color="auto"/>
                <w:bottom w:val="none" w:sz="0" w:space="0" w:color="auto"/>
                <w:right w:val="none" w:sz="0" w:space="0" w:color="auto"/>
              </w:divBdr>
            </w:div>
            <w:div w:id="1394504113">
              <w:marLeft w:val="0"/>
              <w:marRight w:val="0"/>
              <w:marTop w:val="0"/>
              <w:marBottom w:val="0"/>
              <w:divBdr>
                <w:top w:val="none" w:sz="0" w:space="0" w:color="auto"/>
                <w:left w:val="none" w:sz="0" w:space="0" w:color="auto"/>
                <w:bottom w:val="none" w:sz="0" w:space="0" w:color="auto"/>
                <w:right w:val="none" w:sz="0" w:space="0" w:color="auto"/>
              </w:divBdr>
            </w:div>
            <w:div w:id="1450585380">
              <w:marLeft w:val="0"/>
              <w:marRight w:val="0"/>
              <w:marTop w:val="0"/>
              <w:marBottom w:val="0"/>
              <w:divBdr>
                <w:top w:val="none" w:sz="0" w:space="0" w:color="auto"/>
                <w:left w:val="none" w:sz="0" w:space="0" w:color="auto"/>
                <w:bottom w:val="none" w:sz="0" w:space="0" w:color="auto"/>
                <w:right w:val="none" w:sz="0" w:space="0" w:color="auto"/>
              </w:divBdr>
            </w:div>
            <w:div w:id="1456296222">
              <w:marLeft w:val="0"/>
              <w:marRight w:val="0"/>
              <w:marTop w:val="0"/>
              <w:marBottom w:val="0"/>
              <w:divBdr>
                <w:top w:val="none" w:sz="0" w:space="0" w:color="auto"/>
                <w:left w:val="none" w:sz="0" w:space="0" w:color="auto"/>
                <w:bottom w:val="none" w:sz="0" w:space="0" w:color="auto"/>
                <w:right w:val="none" w:sz="0" w:space="0" w:color="auto"/>
              </w:divBdr>
            </w:div>
            <w:div w:id="1468014498">
              <w:marLeft w:val="0"/>
              <w:marRight w:val="0"/>
              <w:marTop w:val="0"/>
              <w:marBottom w:val="0"/>
              <w:divBdr>
                <w:top w:val="none" w:sz="0" w:space="0" w:color="auto"/>
                <w:left w:val="none" w:sz="0" w:space="0" w:color="auto"/>
                <w:bottom w:val="none" w:sz="0" w:space="0" w:color="auto"/>
                <w:right w:val="none" w:sz="0" w:space="0" w:color="auto"/>
              </w:divBdr>
            </w:div>
            <w:div w:id="1469519366">
              <w:marLeft w:val="0"/>
              <w:marRight w:val="0"/>
              <w:marTop w:val="0"/>
              <w:marBottom w:val="0"/>
              <w:divBdr>
                <w:top w:val="none" w:sz="0" w:space="0" w:color="auto"/>
                <w:left w:val="none" w:sz="0" w:space="0" w:color="auto"/>
                <w:bottom w:val="none" w:sz="0" w:space="0" w:color="auto"/>
                <w:right w:val="none" w:sz="0" w:space="0" w:color="auto"/>
              </w:divBdr>
            </w:div>
            <w:div w:id="1474249977">
              <w:marLeft w:val="0"/>
              <w:marRight w:val="0"/>
              <w:marTop w:val="0"/>
              <w:marBottom w:val="0"/>
              <w:divBdr>
                <w:top w:val="none" w:sz="0" w:space="0" w:color="auto"/>
                <w:left w:val="none" w:sz="0" w:space="0" w:color="auto"/>
                <w:bottom w:val="none" w:sz="0" w:space="0" w:color="auto"/>
                <w:right w:val="none" w:sz="0" w:space="0" w:color="auto"/>
              </w:divBdr>
            </w:div>
            <w:div w:id="1500463206">
              <w:marLeft w:val="0"/>
              <w:marRight w:val="0"/>
              <w:marTop w:val="0"/>
              <w:marBottom w:val="0"/>
              <w:divBdr>
                <w:top w:val="none" w:sz="0" w:space="0" w:color="auto"/>
                <w:left w:val="none" w:sz="0" w:space="0" w:color="auto"/>
                <w:bottom w:val="none" w:sz="0" w:space="0" w:color="auto"/>
                <w:right w:val="none" w:sz="0" w:space="0" w:color="auto"/>
              </w:divBdr>
            </w:div>
            <w:div w:id="1523278093">
              <w:marLeft w:val="0"/>
              <w:marRight w:val="0"/>
              <w:marTop w:val="0"/>
              <w:marBottom w:val="0"/>
              <w:divBdr>
                <w:top w:val="none" w:sz="0" w:space="0" w:color="auto"/>
                <w:left w:val="none" w:sz="0" w:space="0" w:color="auto"/>
                <w:bottom w:val="none" w:sz="0" w:space="0" w:color="auto"/>
                <w:right w:val="none" w:sz="0" w:space="0" w:color="auto"/>
              </w:divBdr>
            </w:div>
            <w:div w:id="1525902387">
              <w:marLeft w:val="0"/>
              <w:marRight w:val="0"/>
              <w:marTop w:val="0"/>
              <w:marBottom w:val="0"/>
              <w:divBdr>
                <w:top w:val="none" w:sz="0" w:space="0" w:color="auto"/>
                <w:left w:val="none" w:sz="0" w:space="0" w:color="auto"/>
                <w:bottom w:val="none" w:sz="0" w:space="0" w:color="auto"/>
                <w:right w:val="none" w:sz="0" w:space="0" w:color="auto"/>
              </w:divBdr>
            </w:div>
            <w:div w:id="1527913212">
              <w:marLeft w:val="0"/>
              <w:marRight w:val="0"/>
              <w:marTop w:val="0"/>
              <w:marBottom w:val="0"/>
              <w:divBdr>
                <w:top w:val="none" w:sz="0" w:space="0" w:color="auto"/>
                <w:left w:val="none" w:sz="0" w:space="0" w:color="auto"/>
                <w:bottom w:val="none" w:sz="0" w:space="0" w:color="auto"/>
                <w:right w:val="none" w:sz="0" w:space="0" w:color="auto"/>
              </w:divBdr>
            </w:div>
            <w:div w:id="1550066087">
              <w:marLeft w:val="0"/>
              <w:marRight w:val="0"/>
              <w:marTop w:val="0"/>
              <w:marBottom w:val="0"/>
              <w:divBdr>
                <w:top w:val="none" w:sz="0" w:space="0" w:color="auto"/>
                <w:left w:val="none" w:sz="0" w:space="0" w:color="auto"/>
                <w:bottom w:val="none" w:sz="0" w:space="0" w:color="auto"/>
                <w:right w:val="none" w:sz="0" w:space="0" w:color="auto"/>
              </w:divBdr>
            </w:div>
            <w:div w:id="1566645833">
              <w:marLeft w:val="0"/>
              <w:marRight w:val="0"/>
              <w:marTop w:val="0"/>
              <w:marBottom w:val="0"/>
              <w:divBdr>
                <w:top w:val="none" w:sz="0" w:space="0" w:color="auto"/>
                <w:left w:val="none" w:sz="0" w:space="0" w:color="auto"/>
                <w:bottom w:val="none" w:sz="0" w:space="0" w:color="auto"/>
                <w:right w:val="none" w:sz="0" w:space="0" w:color="auto"/>
              </w:divBdr>
            </w:div>
            <w:div w:id="1593472586">
              <w:marLeft w:val="0"/>
              <w:marRight w:val="0"/>
              <w:marTop w:val="0"/>
              <w:marBottom w:val="0"/>
              <w:divBdr>
                <w:top w:val="none" w:sz="0" w:space="0" w:color="auto"/>
                <w:left w:val="none" w:sz="0" w:space="0" w:color="auto"/>
                <w:bottom w:val="none" w:sz="0" w:space="0" w:color="auto"/>
                <w:right w:val="none" w:sz="0" w:space="0" w:color="auto"/>
              </w:divBdr>
            </w:div>
            <w:div w:id="1606182907">
              <w:marLeft w:val="0"/>
              <w:marRight w:val="0"/>
              <w:marTop w:val="0"/>
              <w:marBottom w:val="0"/>
              <w:divBdr>
                <w:top w:val="none" w:sz="0" w:space="0" w:color="auto"/>
                <w:left w:val="none" w:sz="0" w:space="0" w:color="auto"/>
                <w:bottom w:val="none" w:sz="0" w:space="0" w:color="auto"/>
                <w:right w:val="none" w:sz="0" w:space="0" w:color="auto"/>
              </w:divBdr>
            </w:div>
            <w:div w:id="1626354620">
              <w:marLeft w:val="0"/>
              <w:marRight w:val="0"/>
              <w:marTop w:val="0"/>
              <w:marBottom w:val="0"/>
              <w:divBdr>
                <w:top w:val="none" w:sz="0" w:space="0" w:color="auto"/>
                <w:left w:val="none" w:sz="0" w:space="0" w:color="auto"/>
                <w:bottom w:val="none" w:sz="0" w:space="0" w:color="auto"/>
                <w:right w:val="none" w:sz="0" w:space="0" w:color="auto"/>
              </w:divBdr>
            </w:div>
            <w:div w:id="1645962907">
              <w:marLeft w:val="0"/>
              <w:marRight w:val="0"/>
              <w:marTop w:val="0"/>
              <w:marBottom w:val="0"/>
              <w:divBdr>
                <w:top w:val="none" w:sz="0" w:space="0" w:color="auto"/>
                <w:left w:val="none" w:sz="0" w:space="0" w:color="auto"/>
                <w:bottom w:val="none" w:sz="0" w:space="0" w:color="auto"/>
                <w:right w:val="none" w:sz="0" w:space="0" w:color="auto"/>
              </w:divBdr>
            </w:div>
            <w:div w:id="1671566968">
              <w:marLeft w:val="0"/>
              <w:marRight w:val="0"/>
              <w:marTop w:val="0"/>
              <w:marBottom w:val="0"/>
              <w:divBdr>
                <w:top w:val="none" w:sz="0" w:space="0" w:color="auto"/>
                <w:left w:val="none" w:sz="0" w:space="0" w:color="auto"/>
                <w:bottom w:val="none" w:sz="0" w:space="0" w:color="auto"/>
                <w:right w:val="none" w:sz="0" w:space="0" w:color="auto"/>
              </w:divBdr>
            </w:div>
            <w:div w:id="1680892823">
              <w:marLeft w:val="0"/>
              <w:marRight w:val="0"/>
              <w:marTop w:val="0"/>
              <w:marBottom w:val="0"/>
              <w:divBdr>
                <w:top w:val="none" w:sz="0" w:space="0" w:color="auto"/>
                <w:left w:val="none" w:sz="0" w:space="0" w:color="auto"/>
                <w:bottom w:val="none" w:sz="0" w:space="0" w:color="auto"/>
                <w:right w:val="none" w:sz="0" w:space="0" w:color="auto"/>
              </w:divBdr>
            </w:div>
            <w:div w:id="1709064995">
              <w:marLeft w:val="0"/>
              <w:marRight w:val="0"/>
              <w:marTop w:val="0"/>
              <w:marBottom w:val="0"/>
              <w:divBdr>
                <w:top w:val="none" w:sz="0" w:space="0" w:color="auto"/>
                <w:left w:val="none" w:sz="0" w:space="0" w:color="auto"/>
                <w:bottom w:val="none" w:sz="0" w:space="0" w:color="auto"/>
                <w:right w:val="none" w:sz="0" w:space="0" w:color="auto"/>
              </w:divBdr>
            </w:div>
            <w:div w:id="1710688148">
              <w:marLeft w:val="0"/>
              <w:marRight w:val="0"/>
              <w:marTop w:val="0"/>
              <w:marBottom w:val="0"/>
              <w:divBdr>
                <w:top w:val="none" w:sz="0" w:space="0" w:color="auto"/>
                <w:left w:val="none" w:sz="0" w:space="0" w:color="auto"/>
                <w:bottom w:val="none" w:sz="0" w:space="0" w:color="auto"/>
                <w:right w:val="none" w:sz="0" w:space="0" w:color="auto"/>
              </w:divBdr>
            </w:div>
            <w:div w:id="1711228449">
              <w:marLeft w:val="0"/>
              <w:marRight w:val="0"/>
              <w:marTop w:val="0"/>
              <w:marBottom w:val="0"/>
              <w:divBdr>
                <w:top w:val="none" w:sz="0" w:space="0" w:color="auto"/>
                <w:left w:val="none" w:sz="0" w:space="0" w:color="auto"/>
                <w:bottom w:val="none" w:sz="0" w:space="0" w:color="auto"/>
                <w:right w:val="none" w:sz="0" w:space="0" w:color="auto"/>
              </w:divBdr>
            </w:div>
            <w:div w:id="1798451599">
              <w:marLeft w:val="0"/>
              <w:marRight w:val="0"/>
              <w:marTop w:val="0"/>
              <w:marBottom w:val="0"/>
              <w:divBdr>
                <w:top w:val="none" w:sz="0" w:space="0" w:color="auto"/>
                <w:left w:val="none" w:sz="0" w:space="0" w:color="auto"/>
                <w:bottom w:val="none" w:sz="0" w:space="0" w:color="auto"/>
                <w:right w:val="none" w:sz="0" w:space="0" w:color="auto"/>
              </w:divBdr>
            </w:div>
            <w:div w:id="1808088599">
              <w:marLeft w:val="0"/>
              <w:marRight w:val="0"/>
              <w:marTop w:val="0"/>
              <w:marBottom w:val="0"/>
              <w:divBdr>
                <w:top w:val="none" w:sz="0" w:space="0" w:color="auto"/>
                <w:left w:val="none" w:sz="0" w:space="0" w:color="auto"/>
                <w:bottom w:val="none" w:sz="0" w:space="0" w:color="auto"/>
                <w:right w:val="none" w:sz="0" w:space="0" w:color="auto"/>
              </w:divBdr>
            </w:div>
            <w:div w:id="1811512721">
              <w:marLeft w:val="0"/>
              <w:marRight w:val="0"/>
              <w:marTop w:val="0"/>
              <w:marBottom w:val="0"/>
              <w:divBdr>
                <w:top w:val="none" w:sz="0" w:space="0" w:color="auto"/>
                <w:left w:val="none" w:sz="0" w:space="0" w:color="auto"/>
                <w:bottom w:val="none" w:sz="0" w:space="0" w:color="auto"/>
                <w:right w:val="none" w:sz="0" w:space="0" w:color="auto"/>
              </w:divBdr>
            </w:div>
            <w:div w:id="1814173300">
              <w:marLeft w:val="0"/>
              <w:marRight w:val="0"/>
              <w:marTop w:val="0"/>
              <w:marBottom w:val="0"/>
              <w:divBdr>
                <w:top w:val="none" w:sz="0" w:space="0" w:color="auto"/>
                <w:left w:val="none" w:sz="0" w:space="0" w:color="auto"/>
                <w:bottom w:val="none" w:sz="0" w:space="0" w:color="auto"/>
                <w:right w:val="none" w:sz="0" w:space="0" w:color="auto"/>
              </w:divBdr>
            </w:div>
            <w:div w:id="1825970515">
              <w:marLeft w:val="0"/>
              <w:marRight w:val="0"/>
              <w:marTop w:val="0"/>
              <w:marBottom w:val="0"/>
              <w:divBdr>
                <w:top w:val="none" w:sz="0" w:space="0" w:color="auto"/>
                <w:left w:val="none" w:sz="0" w:space="0" w:color="auto"/>
                <w:bottom w:val="none" w:sz="0" w:space="0" w:color="auto"/>
                <w:right w:val="none" w:sz="0" w:space="0" w:color="auto"/>
              </w:divBdr>
            </w:div>
            <w:div w:id="1834295917">
              <w:marLeft w:val="0"/>
              <w:marRight w:val="0"/>
              <w:marTop w:val="0"/>
              <w:marBottom w:val="0"/>
              <w:divBdr>
                <w:top w:val="none" w:sz="0" w:space="0" w:color="auto"/>
                <w:left w:val="none" w:sz="0" w:space="0" w:color="auto"/>
                <w:bottom w:val="none" w:sz="0" w:space="0" w:color="auto"/>
                <w:right w:val="none" w:sz="0" w:space="0" w:color="auto"/>
              </w:divBdr>
            </w:div>
            <w:div w:id="1843858157">
              <w:marLeft w:val="0"/>
              <w:marRight w:val="0"/>
              <w:marTop w:val="0"/>
              <w:marBottom w:val="0"/>
              <w:divBdr>
                <w:top w:val="none" w:sz="0" w:space="0" w:color="auto"/>
                <w:left w:val="none" w:sz="0" w:space="0" w:color="auto"/>
                <w:bottom w:val="none" w:sz="0" w:space="0" w:color="auto"/>
                <w:right w:val="none" w:sz="0" w:space="0" w:color="auto"/>
              </w:divBdr>
            </w:div>
            <w:div w:id="1873225312">
              <w:marLeft w:val="0"/>
              <w:marRight w:val="0"/>
              <w:marTop w:val="0"/>
              <w:marBottom w:val="0"/>
              <w:divBdr>
                <w:top w:val="none" w:sz="0" w:space="0" w:color="auto"/>
                <w:left w:val="none" w:sz="0" w:space="0" w:color="auto"/>
                <w:bottom w:val="none" w:sz="0" w:space="0" w:color="auto"/>
                <w:right w:val="none" w:sz="0" w:space="0" w:color="auto"/>
              </w:divBdr>
            </w:div>
            <w:div w:id="1876231565">
              <w:marLeft w:val="0"/>
              <w:marRight w:val="0"/>
              <w:marTop w:val="0"/>
              <w:marBottom w:val="0"/>
              <w:divBdr>
                <w:top w:val="none" w:sz="0" w:space="0" w:color="auto"/>
                <w:left w:val="none" w:sz="0" w:space="0" w:color="auto"/>
                <w:bottom w:val="none" w:sz="0" w:space="0" w:color="auto"/>
                <w:right w:val="none" w:sz="0" w:space="0" w:color="auto"/>
              </w:divBdr>
            </w:div>
            <w:div w:id="1893074735">
              <w:marLeft w:val="0"/>
              <w:marRight w:val="0"/>
              <w:marTop w:val="0"/>
              <w:marBottom w:val="0"/>
              <w:divBdr>
                <w:top w:val="none" w:sz="0" w:space="0" w:color="auto"/>
                <w:left w:val="none" w:sz="0" w:space="0" w:color="auto"/>
                <w:bottom w:val="none" w:sz="0" w:space="0" w:color="auto"/>
                <w:right w:val="none" w:sz="0" w:space="0" w:color="auto"/>
              </w:divBdr>
            </w:div>
            <w:div w:id="1909610532">
              <w:marLeft w:val="0"/>
              <w:marRight w:val="0"/>
              <w:marTop w:val="0"/>
              <w:marBottom w:val="0"/>
              <w:divBdr>
                <w:top w:val="none" w:sz="0" w:space="0" w:color="auto"/>
                <w:left w:val="none" w:sz="0" w:space="0" w:color="auto"/>
                <w:bottom w:val="none" w:sz="0" w:space="0" w:color="auto"/>
                <w:right w:val="none" w:sz="0" w:space="0" w:color="auto"/>
              </w:divBdr>
            </w:div>
            <w:div w:id="1919946795">
              <w:marLeft w:val="0"/>
              <w:marRight w:val="0"/>
              <w:marTop w:val="0"/>
              <w:marBottom w:val="0"/>
              <w:divBdr>
                <w:top w:val="none" w:sz="0" w:space="0" w:color="auto"/>
                <w:left w:val="none" w:sz="0" w:space="0" w:color="auto"/>
                <w:bottom w:val="none" w:sz="0" w:space="0" w:color="auto"/>
                <w:right w:val="none" w:sz="0" w:space="0" w:color="auto"/>
              </w:divBdr>
            </w:div>
            <w:div w:id="1920554373">
              <w:marLeft w:val="0"/>
              <w:marRight w:val="0"/>
              <w:marTop w:val="0"/>
              <w:marBottom w:val="0"/>
              <w:divBdr>
                <w:top w:val="none" w:sz="0" w:space="0" w:color="auto"/>
                <w:left w:val="none" w:sz="0" w:space="0" w:color="auto"/>
                <w:bottom w:val="none" w:sz="0" w:space="0" w:color="auto"/>
                <w:right w:val="none" w:sz="0" w:space="0" w:color="auto"/>
              </w:divBdr>
            </w:div>
            <w:div w:id="1934387440">
              <w:marLeft w:val="0"/>
              <w:marRight w:val="0"/>
              <w:marTop w:val="0"/>
              <w:marBottom w:val="0"/>
              <w:divBdr>
                <w:top w:val="none" w:sz="0" w:space="0" w:color="auto"/>
                <w:left w:val="none" w:sz="0" w:space="0" w:color="auto"/>
                <w:bottom w:val="none" w:sz="0" w:space="0" w:color="auto"/>
                <w:right w:val="none" w:sz="0" w:space="0" w:color="auto"/>
              </w:divBdr>
            </w:div>
            <w:div w:id="1976980878">
              <w:marLeft w:val="0"/>
              <w:marRight w:val="0"/>
              <w:marTop w:val="0"/>
              <w:marBottom w:val="0"/>
              <w:divBdr>
                <w:top w:val="none" w:sz="0" w:space="0" w:color="auto"/>
                <w:left w:val="none" w:sz="0" w:space="0" w:color="auto"/>
                <w:bottom w:val="none" w:sz="0" w:space="0" w:color="auto"/>
                <w:right w:val="none" w:sz="0" w:space="0" w:color="auto"/>
              </w:divBdr>
            </w:div>
            <w:div w:id="2000882183">
              <w:marLeft w:val="0"/>
              <w:marRight w:val="0"/>
              <w:marTop w:val="0"/>
              <w:marBottom w:val="0"/>
              <w:divBdr>
                <w:top w:val="none" w:sz="0" w:space="0" w:color="auto"/>
                <w:left w:val="none" w:sz="0" w:space="0" w:color="auto"/>
                <w:bottom w:val="none" w:sz="0" w:space="0" w:color="auto"/>
                <w:right w:val="none" w:sz="0" w:space="0" w:color="auto"/>
              </w:divBdr>
            </w:div>
            <w:div w:id="2050178653">
              <w:marLeft w:val="0"/>
              <w:marRight w:val="0"/>
              <w:marTop w:val="0"/>
              <w:marBottom w:val="0"/>
              <w:divBdr>
                <w:top w:val="none" w:sz="0" w:space="0" w:color="auto"/>
                <w:left w:val="none" w:sz="0" w:space="0" w:color="auto"/>
                <w:bottom w:val="none" w:sz="0" w:space="0" w:color="auto"/>
                <w:right w:val="none" w:sz="0" w:space="0" w:color="auto"/>
              </w:divBdr>
            </w:div>
            <w:div w:id="2055346825">
              <w:marLeft w:val="0"/>
              <w:marRight w:val="0"/>
              <w:marTop w:val="0"/>
              <w:marBottom w:val="0"/>
              <w:divBdr>
                <w:top w:val="none" w:sz="0" w:space="0" w:color="auto"/>
                <w:left w:val="none" w:sz="0" w:space="0" w:color="auto"/>
                <w:bottom w:val="none" w:sz="0" w:space="0" w:color="auto"/>
                <w:right w:val="none" w:sz="0" w:space="0" w:color="auto"/>
              </w:divBdr>
            </w:div>
            <w:div w:id="2069262016">
              <w:marLeft w:val="0"/>
              <w:marRight w:val="0"/>
              <w:marTop w:val="0"/>
              <w:marBottom w:val="0"/>
              <w:divBdr>
                <w:top w:val="none" w:sz="0" w:space="0" w:color="auto"/>
                <w:left w:val="none" w:sz="0" w:space="0" w:color="auto"/>
                <w:bottom w:val="none" w:sz="0" w:space="0" w:color="auto"/>
                <w:right w:val="none" w:sz="0" w:space="0" w:color="auto"/>
              </w:divBdr>
            </w:div>
            <w:div w:id="2105565519">
              <w:marLeft w:val="0"/>
              <w:marRight w:val="0"/>
              <w:marTop w:val="0"/>
              <w:marBottom w:val="0"/>
              <w:divBdr>
                <w:top w:val="none" w:sz="0" w:space="0" w:color="auto"/>
                <w:left w:val="none" w:sz="0" w:space="0" w:color="auto"/>
                <w:bottom w:val="none" w:sz="0" w:space="0" w:color="auto"/>
                <w:right w:val="none" w:sz="0" w:space="0" w:color="auto"/>
              </w:divBdr>
            </w:div>
            <w:div w:id="21234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ps.ligazakon.net/l_flib1.nsf/LookupFiles/TSIGN.GIF/$file/TSIGN.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2340</Words>
  <Characters>13341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SSMSC</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nechyporuk</dc:creator>
  <cp:keywords/>
  <dc:description/>
  <cp:lastModifiedBy>Руслан Кисляк</cp:lastModifiedBy>
  <cp:revision>3</cp:revision>
  <dcterms:created xsi:type="dcterms:W3CDTF">2019-03-27T12:05:00Z</dcterms:created>
  <dcterms:modified xsi:type="dcterms:W3CDTF">2019-03-27T12:07:00Z</dcterms:modified>
</cp:coreProperties>
</file>